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91" w:rsidRPr="0066085C" w:rsidRDefault="00935491" w:rsidP="00935491">
      <w:pPr>
        <w:spacing w:after="120" w:line="276" w:lineRule="auto"/>
        <w:jc w:val="right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66085C">
        <w:rPr>
          <w:rFonts w:ascii="Arial" w:eastAsia="Calibri" w:hAnsi="Arial" w:cs="Arial"/>
          <w:color w:val="000000" w:themeColor="text1"/>
          <w:sz w:val="20"/>
          <w:szCs w:val="20"/>
          <w:u w:val="single"/>
        </w:rPr>
        <w:t>TOP_PLUSZ-3.1.1-21-NG1-2022-00001</w:t>
      </w:r>
    </w:p>
    <w:p w:rsidR="00592976" w:rsidRPr="0066085C" w:rsidRDefault="00592976" w:rsidP="0059297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592976" w:rsidRPr="0066085C" w:rsidRDefault="00592976" w:rsidP="0059297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  <w:r w:rsidRPr="0066085C">
        <w:rPr>
          <w:rFonts w:ascii="Arial" w:eastAsia="Calibri" w:hAnsi="Arial" w:cs="Arial"/>
          <w:b/>
          <w:color w:val="000000" w:themeColor="text1"/>
          <w:sz w:val="20"/>
          <w:szCs w:val="20"/>
        </w:rPr>
        <w:t>TÁJÉKOZTATÓ</w:t>
      </w:r>
    </w:p>
    <w:p w:rsidR="00B17CE3" w:rsidRPr="00F814BE" w:rsidRDefault="00592976" w:rsidP="0059297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proofErr w:type="gramStart"/>
      <w:r w:rsidRPr="00F814BE">
        <w:rPr>
          <w:rFonts w:ascii="Arial" w:eastAsia="Calibri" w:hAnsi="Arial" w:cs="Arial"/>
          <w:b/>
          <w:sz w:val="20"/>
          <w:szCs w:val="20"/>
        </w:rPr>
        <w:t>a</w:t>
      </w:r>
      <w:proofErr w:type="gramEnd"/>
      <w:r w:rsidRPr="00F814BE">
        <w:rPr>
          <w:rFonts w:ascii="Arial" w:eastAsia="Calibri" w:hAnsi="Arial" w:cs="Arial"/>
          <w:b/>
          <w:sz w:val="20"/>
          <w:szCs w:val="20"/>
        </w:rPr>
        <w:t xml:space="preserve"> </w:t>
      </w:r>
      <w:bookmarkStart w:id="0" w:name="nehéz1"/>
      <w:r w:rsidRPr="00F814BE">
        <w:rPr>
          <w:rFonts w:ascii="Arial" w:eastAsia="Calibri" w:hAnsi="Arial" w:cs="Arial"/>
          <w:b/>
          <w:sz w:val="20"/>
          <w:szCs w:val="20"/>
        </w:rPr>
        <w:t>„nehéz helyzetben lévő vállalkozás</w:t>
      </w:r>
      <w:bookmarkEnd w:id="0"/>
      <w:r w:rsidRPr="00F814BE">
        <w:rPr>
          <w:rFonts w:ascii="Arial" w:eastAsia="Calibri" w:hAnsi="Arial" w:cs="Arial"/>
          <w:b/>
          <w:sz w:val="20"/>
          <w:szCs w:val="20"/>
        </w:rPr>
        <w:t xml:space="preserve">” </w:t>
      </w:r>
      <w:r w:rsidR="00C8193E" w:rsidRPr="00F814BE">
        <w:rPr>
          <w:rFonts w:ascii="Arial" w:hAnsi="Arial" w:cs="Arial"/>
          <w:b/>
          <w:bCs/>
          <w:iCs/>
          <w:sz w:val="20"/>
          <w:szCs w:val="20"/>
        </w:rPr>
        <w:t xml:space="preserve">továbbá az „egy és ugyanazon </w:t>
      </w:r>
      <w:proofErr w:type="spellStart"/>
      <w:r w:rsidR="00C8193E" w:rsidRPr="00F814BE">
        <w:rPr>
          <w:rFonts w:ascii="Arial" w:hAnsi="Arial" w:cs="Arial"/>
          <w:b/>
          <w:bCs/>
          <w:iCs/>
          <w:sz w:val="20"/>
          <w:szCs w:val="20"/>
        </w:rPr>
        <w:t>vállalkozás”</w:t>
      </w:r>
      <w:r w:rsidRPr="00F814BE">
        <w:rPr>
          <w:rFonts w:ascii="Arial" w:eastAsia="Calibri" w:hAnsi="Arial" w:cs="Arial"/>
          <w:b/>
          <w:sz w:val="20"/>
          <w:szCs w:val="20"/>
        </w:rPr>
        <w:t>fogalmának</w:t>
      </w:r>
      <w:proofErr w:type="spellEnd"/>
      <w:r w:rsidRPr="00F814BE">
        <w:rPr>
          <w:rFonts w:ascii="Arial" w:eastAsia="Calibri" w:hAnsi="Arial" w:cs="Arial"/>
          <w:b/>
          <w:sz w:val="20"/>
          <w:szCs w:val="20"/>
        </w:rPr>
        <w:t xml:space="preserve"> meghatározásáról</w:t>
      </w: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1. </w:t>
      </w:r>
      <w:r w:rsidR="0076611C" w:rsidRPr="00F814BE">
        <w:rPr>
          <w:rFonts w:ascii="Arial" w:eastAsia="Calibri" w:hAnsi="Arial" w:cs="Arial"/>
          <w:sz w:val="20"/>
          <w:szCs w:val="20"/>
        </w:rPr>
        <w:t xml:space="preserve">Általános </w:t>
      </w:r>
      <w:r w:rsidRPr="00F814BE">
        <w:rPr>
          <w:rFonts w:ascii="Arial" w:eastAsia="Calibri" w:hAnsi="Arial" w:cs="Arial"/>
          <w:sz w:val="20"/>
          <w:szCs w:val="20"/>
        </w:rPr>
        <w:t>szabályok</w:t>
      </w:r>
    </w:p>
    <w:p w:rsidR="00592976" w:rsidRPr="00F814BE" w:rsidRDefault="00592976" w:rsidP="0059297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Az európai uniós versenyjogi értelemben vett állami támogatásokkal kapcsolatos eljárásról és a regionális támogatási térképről szóló 37/2011. (III. 22.) Korm. rendelet </w:t>
      </w:r>
      <w:r w:rsidR="00BE760E" w:rsidRPr="00F814BE">
        <w:rPr>
          <w:rFonts w:ascii="Arial" w:eastAsia="Times New Roman" w:hAnsi="Arial" w:cs="Arial"/>
          <w:bCs/>
          <w:sz w:val="20"/>
          <w:szCs w:val="20"/>
          <w:lang w:eastAsia="hu-HU"/>
        </w:rPr>
        <w:t xml:space="preserve">(a továbbiakban: 37/2011. (III. 22.) Korm. rendelet) </w:t>
      </w:r>
      <w:r w:rsidRPr="00F814BE">
        <w:rPr>
          <w:rFonts w:ascii="Arial" w:eastAsia="Calibri" w:hAnsi="Arial" w:cs="Arial"/>
          <w:sz w:val="20"/>
          <w:szCs w:val="20"/>
        </w:rPr>
        <w:t>6. § (1) bekezdése szerint: ha uniós állami támogatási szabály másként nem rendelkezik, nehéz helyzetben lévő vállalkozás nem részesülhet állami támogatásban.</w:t>
      </w:r>
    </w:p>
    <w:p w:rsidR="00592976" w:rsidRPr="00F814BE" w:rsidRDefault="00E6012E" w:rsidP="005929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A Szerződés 107. és 108. cikke alkalmazásában bizonyos támogatási </w:t>
      </w:r>
      <w:proofErr w:type="gramStart"/>
      <w:r w:rsidRPr="00F814BE">
        <w:rPr>
          <w:rFonts w:ascii="Arial" w:eastAsia="Calibri" w:hAnsi="Arial" w:cs="Arial"/>
          <w:sz w:val="20"/>
          <w:szCs w:val="20"/>
        </w:rPr>
        <w:t>kategóriáknak</w:t>
      </w:r>
      <w:proofErr w:type="gramEnd"/>
      <w:r w:rsidRPr="00F814BE">
        <w:rPr>
          <w:rFonts w:ascii="Arial" w:eastAsia="Calibri" w:hAnsi="Arial" w:cs="Arial"/>
          <w:sz w:val="20"/>
          <w:szCs w:val="20"/>
        </w:rPr>
        <w:t xml:space="preserve"> a belső piaccal ö</w:t>
      </w:r>
      <w:r w:rsidR="00005B83" w:rsidRPr="00F814BE">
        <w:rPr>
          <w:rFonts w:ascii="Arial" w:eastAsia="Calibri" w:hAnsi="Arial" w:cs="Arial"/>
          <w:sz w:val="20"/>
          <w:szCs w:val="20"/>
        </w:rPr>
        <w:t>ssze</w:t>
      </w:r>
      <w:r w:rsidRPr="00F814BE">
        <w:rPr>
          <w:rFonts w:ascii="Arial" w:eastAsia="Calibri" w:hAnsi="Arial" w:cs="Arial"/>
          <w:sz w:val="20"/>
          <w:szCs w:val="20"/>
        </w:rPr>
        <w:t xml:space="preserve">egyeztethetővé nyilvánításáról szóló 2014. június 17-i, </w:t>
      </w:r>
      <w:r w:rsidR="00BE760E" w:rsidRPr="00F814BE">
        <w:rPr>
          <w:rFonts w:ascii="Arial" w:eastAsia="Cambria Math" w:hAnsi="Arial" w:cs="Arial"/>
          <w:sz w:val="20"/>
          <w:szCs w:val="20"/>
          <w:lang w:eastAsia="hu-HU"/>
        </w:rPr>
        <w:t xml:space="preserve">, </w:t>
      </w:r>
      <w:r w:rsidR="00BE760E" w:rsidRPr="00F814BE">
        <w:rPr>
          <w:rFonts w:ascii="Arial" w:eastAsia="Cambria Math" w:hAnsi="Arial" w:cs="Arial"/>
          <w:sz w:val="20"/>
          <w:szCs w:val="20"/>
          <w:u w:val="single"/>
          <w:lang w:eastAsia="hu-HU"/>
        </w:rPr>
        <w:t>651/2014/EU bizottsági rendelet</w:t>
      </w:r>
      <w:r w:rsidRPr="00F814BE">
        <w:rPr>
          <w:rFonts w:ascii="Arial" w:eastAsia="Calibri" w:hAnsi="Arial" w:cs="Arial"/>
          <w:sz w:val="20"/>
          <w:szCs w:val="20"/>
        </w:rPr>
        <w:t>, illetve a 37/2011. (III. 22.) Korm. rendelet 6. §. (4a) bekezdésének értelmében valamely vállalko</w:t>
      </w:r>
      <w:r w:rsidR="00005B83" w:rsidRPr="00F814BE">
        <w:rPr>
          <w:rFonts w:ascii="Arial" w:eastAsia="Calibri" w:hAnsi="Arial" w:cs="Arial"/>
          <w:sz w:val="20"/>
          <w:szCs w:val="20"/>
        </w:rPr>
        <w:t>zás akkor minősül nehéz helyzet</w:t>
      </w:r>
      <w:r w:rsidRPr="00F814BE">
        <w:rPr>
          <w:rFonts w:ascii="Arial" w:eastAsia="Calibri" w:hAnsi="Arial" w:cs="Arial"/>
          <w:sz w:val="20"/>
          <w:szCs w:val="20"/>
        </w:rPr>
        <w:t>ben lévőnek, ha a következő feltételek közül legalább egy teljesül:</w:t>
      </w: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 </w:t>
      </w:r>
    </w:p>
    <w:p w:rsidR="00592976" w:rsidRPr="00F814BE" w:rsidRDefault="00592976" w:rsidP="00592976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F814BE">
        <w:rPr>
          <w:rFonts w:ascii="Arial" w:eastAsia="Calibri" w:hAnsi="Arial" w:cs="Arial"/>
          <w:sz w:val="20"/>
          <w:szCs w:val="20"/>
        </w:rPr>
        <w:t xml:space="preserve">a) </w:t>
      </w:r>
      <w:r w:rsidR="003950BF" w:rsidRPr="00F814BE">
        <w:rPr>
          <w:rFonts w:ascii="Arial" w:eastAsia="Times New Roman" w:hAnsi="Arial" w:cs="Arial"/>
          <w:sz w:val="20"/>
          <w:szCs w:val="20"/>
          <w:lang w:eastAsia="hu-HU"/>
        </w:rPr>
        <w:t xml:space="preserve">Korlátolt felelősségű társaság esetén </w:t>
      </w:r>
      <w:r w:rsidR="00A90E0B" w:rsidRPr="00F814BE">
        <w:rPr>
          <w:rFonts w:ascii="Arial" w:eastAsia="Calibri" w:hAnsi="Arial" w:cs="Arial"/>
          <w:sz w:val="20"/>
          <w:szCs w:val="20"/>
        </w:rPr>
        <w:t xml:space="preserve">(kivéve a kevesebb, mint három éve létező kkv-kat, illetve a kockázatfinanszírozási támogatásra való jogosultság alkalmazásában </w:t>
      </w:r>
      <w:r w:rsidR="001D355C" w:rsidRPr="00F814BE">
        <w:rPr>
          <w:rFonts w:ascii="Arial" w:eastAsia="Cambria Math" w:hAnsi="Arial" w:cs="Arial"/>
          <w:sz w:val="20"/>
          <w:szCs w:val="20"/>
          <w:lang w:eastAsia="hu-HU"/>
        </w:rPr>
        <w:t>a nyilvántartásba vételüket követő kevesebb mint tíz évben</w:t>
      </w:r>
      <w:r w:rsidR="001D355C" w:rsidRPr="00F814BE">
        <w:rPr>
          <w:rFonts w:ascii="Cambria Math" w:eastAsia="Cambria Math" w:hAnsi="Cambria Math" w:cs="Cambria Math"/>
          <w:sz w:val="24"/>
          <w:szCs w:val="24"/>
          <w:lang w:eastAsia="hu-HU"/>
        </w:rPr>
        <w:t>; vagy</w:t>
      </w:r>
      <w:r w:rsidR="001D355C" w:rsidRPr="00F814B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="00A90E0B" w:rsidRPr="00F814BE">
        <w:rPr>
          <w:rFonts w:ascii="Arial" w:eastAsia="Calibri" w:hAnsi="Arial" w:cs="Arial"/>
          <w:sz w:val="20"/>
          <w:szCs w:val="20"/>
        </w:rPr>
        <w:t>az első kereskedelmi értékesítéstől számítva kevesebb, mint hét éve működő olyan kkv-kat, amelyek a kiválasztott pénzügyi közvetítő által végzett átvilágítást követően kockázatfinanszírozási beruházásra jogosultak</w:t>
      </w:r>
      <w:r w:rsidR="00A90E0B" w:rsidRPr="00F814BE">
        <w:rPr>
          <w:rFonts w:ascii="Arial" w:eastAsia="Calibri" w:hAnsi="Arial" w:cs="Arial"/>
          <w:strike/>
          <w:sz w:val="20"/>
          <w:szCs w:val="20"/>
        </w:rPr>
        <w:t>)</w:t>
      </w:r>
      <w:r w:rsidRPr="00F814BE">
        <w:rPr>
          <w:rFonts w:ascii="Arial" w:eastAsia="Calibri" w:hAnsi="Arial" w:cs="Arial"/>
          <w:strike/>
          <w:sz w:val="20"/>
          <w:szCs w:val="20"/>
        </w:rPr>
        <w:t>,</w:t>
      </w:r>
      <w:r w:rsidRPr="00F814BE">
        <w:rPr>
          <w:rFonts w:ascii="Arial" w:eastAsia="Calibri" w:hAnsi="Arial" w:cs="Arial"/>
          <w:sz w:val="20"/>
          <w:szCs w:val="20"/>
        </w:rPr>
        <w:t xml:space="preserve">jegyzett </w:t>
      </w:r>
      <w:r w:rsidR="009203D1" w:rsidRPr="00F814BE">
        <w:rPr>
          <w:rFonts w:ascii="Arial" w:eastAsia="Calibri" w:hAnsi="Arial" w:cs="Arial"/>
          <w:sz w:val="20"/>
          <w:szCs w:val="20"/>
        </w:rPr>
        <w:t>részvény</w:t>
      </w:r>
      <w:r w:rsidRPr="00F814BE">
        <w:rPr>
          <w:rFonts w:ascii="Arial" w:eastAsia="Calibri" w:hAnsi="Arial" w:cs="Arial"/>
          <w:sz w:val="20"/>
          <w:szCs w:val="20"/>
        </w:rPr>
        <w:t xml:space="preserve">tőkéjének több mint a </w:t>
      </w:r>
      <w:r w:rsidR="009203D1" w:rsidRPr="00F814BE">
        <w:rPr>
          <w:rFonts w:ascii="Arial" w:eastAsia="Calibri" w:hAnsi="Arial" w:cs="Arial"/>
          <w:sz w:val="20"/>
          <w:szCs w:val="20"/>
        </w:rPr>
        <w:t>fele elveszett a</w:t>
      </w:r>
      <w:r w:rsidRPr="00F814BE">
        <w:rPr>
          <w:rFonts w:ascii="Arial" w:eastAsia="Calibri" w:hAnsi="Arial" w:cs="Arial"/>
          <w:sz w:val="20"/>
          <w:szCs w:val="20"/>
        </w:rPr>
        <w:t xml:space="preserve"> felhalmozott veszteségek</w:t>
      </w:r>
      <w:r w:rsidR="009203D1" w:rsidRPr="00F814BE">
        <w:rPr>
          <w:rFonts w:ascii="Arial" w:eastAsia="Calibri" w:hAnsi="Arial" w:cs="Arial"/>
          <w:sz w:val="20"/>
          <w:szCs w:val="20"/>
        </w:rPr>
        <w:t xml:space="preserve"> miatt </w:t>
      </w:r>
      <w:r w:rsidR="009203D1" w:rsidRPr="00F814BE">
        <w:rPr>
          <w:rFonts w:ascii="Arial" w:eastAsia="Verdana" w:hAnsi="Arial" w:cs="Arial"/>
          <w:sz w:val="20"/>
          <w:szCs w:val="20"/>
        </w:rPr>
        <w:t>Ez abban az esetben fordul elő, ha a felhalmozott veszteségeknek</w:t>
      </w:r>
      <w:proofErr w:type="gramEnd"/>
      <w:r w:rsidRPr="00F814B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B56702" w:rsidRPr="00F814BE">
        <w:rPr>
          <w:rFonts w:ascii="Arial" w:eastAsia="Calibri" w:hAnsi="Arial" w:cs="Arial"/>
          <w:sz w:val="20"/>
          <w:szCs w:val="20"/>
        </w:rPr>
        <w:t>a</w:t>
      </w:r>
      <w:proofErr w:type="gramEnd"/>
      <w:r w:rsidR="00B56702" w:rsidRPr="00F814BE">
        <w:rPr>
          <w:rFonts w:ascii="Arial" w:eastAsia="Calibri" w:hAnsi="Arial" w:cs="Arial"/>
          <w:sz w:val="20"/>
          <w:szCs w:val="20"/>
        </w:rPr>
        <w:t xml:space="preserve"> tartalékokból (és minden olyan elemből, amelyet általában a társaság sajáttőke részének tekintenek) </w:t>
      </w:r>
      <w:r w:rsidRPr="00F814BE">
        <w:rPr>
          <w:rFonts w:ascii="Arial" w:eastAsia="Calibri" w:hAnsi="Arial" w:cs="Arial"/>
          <w:sz w:val="20"/>
          <w:szCs w:val="20"/>
        </w:rPr>
        <w:t>történő levonás</w:t>
      </w:r>
      <w:r w:rsidR="000D394C" w:rsidRPr="00F814BE">
        <w:rPr>
          <w:rFonts w:ascii="Arial" w:eastAsia="Calibri" w:hAnsi="Arial" w:cs="Arial"/>
          <w:sz w:val="20"/>
          <w:szCs w:val="20"/>
        </w:rPr>
        <w:t>ával</w:t>
      </w:r>
      <w:r w:rsidRPr="00F814BE">
        <w:rPr>
          <w:rFonts w:ascii="Arial" w:eastAsia="Calibri" w:hAnsi="Arial" w:cs="Arial"/>
          <w:sz w:val="20"/>
          <w:szCs w:val="20"/>
        </w:rPr>
        <w:t xml:space="preserve"> a jegyzett tőke felét meghaladó negatív </w:t>
      </w:r>
      <w:r w:rsidR="000D394C" w:rsidRPr="00F814BE">
        <w:rPr>
          <w:rFonts w:ascii="Arial" w:eastAsia="Calibri" w:hAnsi="Arial" w:cs="Arial"/>
          <w:sz w:val="20"/>
          <w:szCs w:val="20"/>
        </w:rPr>
        <w:t xml:space="preserve">halmozott összeg </w:t>
      </w:r>
      <w:r w:rsidRPr="00F814BE">
        <w:rPr>
          <w:rFonts w:ascii="Arial" w:eastAsia="Calibri" w:hAnsi="Arial" w:cs="Arial"/>
          <w:sz w:val="20"/>
          <w:szCs w:val="20"/>
        </w:rPr>
        <w:t>keletkezik,</w:t>
      </w:r>
      <w:r w:rsidR="00F65AE8" w:rsidRPr="00F814BE">
        <w:t xml:space="preserve"> </w:t>
      </w:r>
      <w:r w:rsidR="00F65AE8" w:rsidRPr="00F814BE">
        <w:rPr>
          <w:rFonts w:ascii="Arial" w:eastAsia="Calibri" w:hAnsi="Arial" w:cs="Arial"/>
          <w:sz w:val="20"/>
          <w:szCs w:val="20"/>
        </w:rPr>
        <w:t>E rendelkezés alkalmazásában a „korlátolt felelősségű társaság” különösen a 2013/34/EU irányelv I. mellékletében említett vállalkozástípusokat jelenti, és a „jegyzett tőke” adott esetben magában foglal minden részvénytőkét.</w:t>
      </w:r>
    </w:p>
    <w:p w:rsidR="009539F7" w:rsidRPr="00F814BE" w:rsidRDefault="00FA6F06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F814BE">
        <w:rPr>
          <w:rFonts w:ascii="Arial" w:eastAsia="Calibri" w:hAnsi="Arial" w:cs="Arial"/>
          <w:sz w:val="20"/>
          <w:szCs w:val="20"/>
        </w:rPr>
        <w:t>b)</w:t>
      </w:r>
      <w:r w:rsidR="00813041" w:rsidRPr="00F814BE">
        <w:rPr>
          <w:rFonts w:ascii="Arial" w:eastAsia="Calibri" w:hAnsi="Arial" w:cs="Arial"/>
          <w:sz w:val="20"/>
          <w:szCs w:val="20"/>
        </w:rPr>
        <w:t xml:space="preserve"> </w:t>
      </w:r>
      <w:r w:rsidRPr="00F814BE">
        <w:rPr>
          <w:rFonts w:ascii="Arial" w:eastAsia="Calibri" w:hAnsi="Arial" w:cs="Arial"/>
          <w:sz w:val="20"/>
          <w:szCs w:val="20"/>
        </w:rPr>
        <w:t xml:space="preserve"> O</w:t>
      </w:r>
      <w:r w:rsidR="00592976" w:rsidRPr="00F814BE">
        <w:rPr>
          <w:rFonts w:ascii="Arial" w:eastAsia="Calibri" w:hAnsi="Arial" w:cs="Arial"/>
          <w:sz w:val="20"/>
          <w:szCs w:val="20"/>
        </w:rPr>
        <w:t>lyan társaság esetén, ahol legalább egyes tagok korlátlan felelősséggel bírnak a társaság tartozásai tekintetében</w:t>
      </w:r>
      <w:r w:rsidR="00A90E0B" w:rsidRPr="00F814BE">
        <w:rPr>
          <w:rFonts w:ascii="Arial" w:eastAsia="Calibri" w:hAnsi="Arial" w:cs="Arial"/>
          <w:sz w:val="20"/>
          <w:szCs w:val="20"/>
        </w:rPr>
        <w:t xml:space="preserve"> (kivéve a kevesebb, mint három éve létező kkv-kat, illetve a kockázatfinanszírozási támogatásra való jogosultság alkalmazásában</w:t>
      </w:r>
      <w:r w:rsidR="00160180" w:rsidRPr="00F814BE">
        <w:rPr>
          <w:rFonts w:ascii="Arial" w:eastAsia="Calibri" w:hAnsi="Arial" w:cs="Arial"/>
          <w:sz w:val="20"/>
          <w:szCs w:val="20"/>
        </w:rPr>
        <w:t xml:space="preserve"> </w:t>
      </w:r>
      <w:r w:rsidR="00F65AE8" w:rsidRPr="00F814BE">
        <w:rPr>
          <w:rFonts w:ascii="Arial" w:eastAsia="Calibri" w:hAnsi="Arial" w:cs="Arial"/>
          <w:sz w:val="20"/>
          <w:szCs w:val="20"/>
        </w:rPr>
        <w:t>a nyilvántartásba vételüket követő kevesebb,</w:t>
      </w:r>
      <w:r w:rsidR="00160180" w:rsidRPr="00F814BE">
        <w:rPr>
          <w:rFonts w:ascii="Arial" w:eastAsia="Calibri" w:hAnsi="Arial" w:cs="Arial"/>
          <w:sz w:val="20"/>
          <w:szCs w:val="20"/>
        </w:rPr>
        <w:t xml:space="preserve"> </w:t>
      </w:r>
      <w:r w:rsidR="00F65AE8" w:rsidRPr="00F814BE">
        <w:rPr>
          <w:rFonts w:ascii="Arial" w:eastAsia="Calibri" w:hAnsi="Arial" w:cs="Arial"/>
          <w:sz w:val="20"/>
          <w:szCs w:val="20"/>
        </w:rPr>
        <w:t>mint 10 évben vagy</w:t>
      </w:r>
      <w:r w:rsidR="00A90E0B" w:rsidRPr="00F814BE">
        <w:rPr>
          <w:rFonts w:ascii="Arial" w:eastAsia="Calibri" w:hAnsi="Arial" w:cs="Arial"/>
          <w:sz w:val="20"/>
          <w:szCs w:val="20"/>
        </w:rPr>
        <w:t xml:space="preserve"> az első kereskedelmi értékesítéstől számítva kevesebb, mint hét éve működő olyan kkv-kat, amelyek a kiválasztott pénzügyi közvetítő által végzett átvilágítást követően kockázatfinanszírozási beruházásra jogosultak</w:t>
      </w:r>
      <w:r w:rsidR="00A90E0B" w:rsidRPr="00F814BE">
        <w:rPr>
          <w:rFonts w:ascii="Arial" w:eastAsia="Calibri" w:hAnsi="Arial" w:cs="Arial"/>
          <w:strike/>
          <w:sz w:val="20"/>
          <w:szCs w:val="20"/>
        </w:rPr>
        <w:t>)</w:t>
      </w:r>
      <w:r w:rsidR="00592976" w:rsidRPr="00F814BE">
        <w:rPr>
          <w:rFonts w:ascii="Arial" w:eastAsia="Calibri" w:hAnsi="Arial" w:cs="Arial"/>
          <w:strike/>
          <w:sz w:val="20"/>
          <w:szCs w:val="20"/>
        </w:rPr>
        <w:t xml:space="preserve">, </w:t>
      </w:r>
      <w:r w:rsidR="00F65AE8" w:rsidRPr="00F814BE">
        <w:rPr>
          <w:rFonts w:ascii="Arial" w:eastAsia="Calibri" w:hAnsi="Arial" w:cs="Arial"/>
          <w:sz w:val="20"/>
          <w:szCs w:val="20"/>
        </w:rPr>
        <w:t xml:space="preserve">a társaság könyveiben kimutatott tőkének több mint a fele nincs meg a </w:t>
      </w:r>
      <w:r w:rsidR="00592976" w:rsidRPr="00F814BE">
        <w:rPr>
          <w:rFonts w:ascii="Arial" w:eastAsia="Calibri" w:hAnsi="Arial" w:cs="Arial"/>
          <w:sz w:val="20"/>
          <w:szCs w:val="20"/>
        </w:rPr>
        <w:t>felhalmozott</w:t>
      </w:r>
      <w:proofErr w:type="gramEnd"/>
      <w:r w:rsidR="00592976" w:rsidRPr="00F814BE"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 w:rsidR="00592976" w:rsidRPr="00F814BE">
        <w:rPr>
          <w:rFonts w:ascii="Arial" w:eastAsia="Calibri" w:hAnsi="Arial" w:cs="Arial"/>
          <w:sz w:val="20"/>
          <w:szCs w:val="20"/>
        </w:rPr>
        <w:t>veszteségei</w:t>
      </w:r>
      <w:proofErr w:type="gramEnd"/>
      <w:r w:rsidR="00592976" w:rsidRPr="00F814BE">
        <w:rPr>
          <w:rFonts w:ascii="Arial" w:eastAsia="Calibri" w:hAnsi="Arial" w:cs="Arial"/>
          <w:sz w:val="20"/>
          <w:szCs w:val="20"/>
        </w:rPr>
        <w:t xml:space="preserve"> miatt</w:t>
      </w:r>
      <w:r w:rsidR="00F65AE8" w:rsidRPr="00F814BE">
        <w:rPr>
          <w:rFonts w:ascii="Arial" w:eastAsia="Calibri" w:hAnsi="Arial" w:cs="Arial"/>
          <w:sz w:val="20"/>
          <w:szCs w:val="20"/>
        </w:rPr>
        <w:t>.</w:t>
      </w:r>
      <w:r w:rsidR="00592976" w:rsidRPr="00F814BE">
        <w:rPr>
          <w:rFonts w:ascii="Arial" w:eastAsia="Calibri" w:hAnsi="Arial" w:cs="Arial"/>
          <w:sz w:val="20"/>
          <w:szCs w:val="20"/>
        </w:rPr>
        <w:t xml:space="preserve"> </w:t>
      </w:r>
      <w:r w:rsidR="009539F7" w:rsidRPr="00F814BE">
        <w:rPr>
          <w:rFonts w:ascii="Arial" w:eastAsia="Calibri" w:hAnsi="Arial" w:cs="Arial"/>
          <w:sz w:val="20"/>
          <w:szCs w:val="20"/>
        </w:rPr>
        <w:t>E rendelkezés alkalmazásában a „társaság, ahol legalább egyes tagok korlátlan felelősséggel bírnak a társaság tartozásai tekintetében” különösen a 2013/34/EU irányelv II. mellékletében említett vállalkozástípusokat jelenti.</w:t>
      </w:r>
    </w:p>
    <w:p w:rsidR="00592976" w:rsidRPr="00F814BE" w:rsidRDefault="00592976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trike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c)  </w:t>
      </w:r>
      <w:r w:rsidR="00813041" w:rsidRPr="00F814BE">
        <w:rPr>
          <w:rFonts w:ascii="Arial" w:eastAsia="Calibri" w:hAnsi="Arial" w:cs="Arial"/>
          <w:sz w:val="20"/>
          <w:szCs w:val="20"/>
        </w:rPr>
        <w:t xml:space="preserve">  </w:t>
      </w:r>
      <w:r w:rsidR="00A20697" w:rsidRPr="00F814BE">
        <w:rPr>
          <w:rFonts w:ascii="Arial" w:eastAsia="Calibri" w:hAnsi="Arial" w:cs="Arial"/>
          <w:sz w:val="20"/>
          <w:szCs w:val="20"/>
        </w:rPr>
        <w:t xml:space="preserve">Amennyiben a </w:t>
      </w:r>
      <w:r w:rsidRPr="00F814BE">
        <w:rPr>
          <w:rFonts w:ascii="Arial" w:eastAsia="Calibri" w:hAnsi="Arial" w:cs="Arial"/>
          <w:sz w:val="20"/>
          <w:szCs w:val="20"/>
        </w:rPr>
        <w:t xml:space="preserve">vállalkozás ellen </w:t>
      </w:r>
      <w:proofErr w:type="gramStart"/>
      <w:r w:rsidR="00A20697" w:rsidRPr="00F814BE">
        <w:rPr>
          <w:rFonts w:ascii="Arial" w:eastAsia="Calibri" w:hAnsi="Arial" w:cs="Arial"/>
          <w:sz w:val="20"/>
          <w:szCs w:val="20"/>
        </w:rPr>
        <w:t>kollektív</w:t>
      </w:r>
      <w:proofErr w:type="gramEnd"/>
      <w:r w:rsidR="00A20697" w:rsidRPr="00F814BE">
        <w:rPr>
          <w:rFonts w:ascii="Arial" w:eastAsia="Calibri" w:hAnsi="Arial" w:cs="Arial"/>
          <w:sz w:val="20"/>
          <w:szCs w:val="20"/>
        </w:rPr>
        <w:t xml:space="preserve"> fizetésképtelenségi eljárás indult vagy a hazai jog alapján megfelel azoknak a feltételeknek, amelyek a kollektív fizetésképtelenségi eljárásnak a vállalkozás hitele</w:t>
      </w:r>
      <w:r w:rsidR="009539F7" w:rsidRPr="00F814BE">
        <w:rPr>
          <w:rFonts w:ascii="Arial" w:eastAsia="Calibri" w:hAnsi="Arial" w:cs="Arial"/>
          <w:sz w:val="20"/>
          <w:szCs w:val="20"/>
        </w:rPr>
        <w:t>zői kérésére történő elindításá</w:t>
      </w:r>
      <w:r w:rsidR="00A20697" w:rsidRPr="00F814BE">
        <w:rPr>
          <w:rFonts w:ascii="Arial" w:eastAsia="Calibri" w:hAnsi="Arial" w:cs="Arial"/>
          <w:sz w:val="20"/>
          <w:szCs w:val="20"/>
        </w:rPr>
        <w:t>ra vonatkoznak</w:t>
      </w:r>
      <w:r w:rsidR="009539F7" w:rsidRPr="00F814BE">
        <w:rPr>
          <w:rFonts w:ascii="Arial" w:eastAsia="Calibri" w:hAnsi="Arial" w:cs="Arial"/>
          <w:sz w:val="20"/>
          <w:szCs w:val="20"/>
        </w:rPr>
        <w:t>.</w:t>
      </w:r>
    </w:p>
    <w:p w:rsidR="00032ADD" w:rsidRPr="00F814BE" w:rsidRDefault="00A20697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d</w:t>
      </w:r>
      <w:proofErr w:type="gramStart"/>
      <w:r w:rsidR="00813041" w:rsidRPr="00F814BE">
        <w:rPr>
          <w:rFonts w:ascii="Arial" w:eastAsia="Calibri" w:hAnsi="Arial" w:cs="Arial"/>
          <w:sz w:val="20"/>
          <w:szCs w:val="20"/>
        </w:rPr>
        <w:t xml:space="preserve">)   </w:t>
      </w:r>
      <w:r w:rsidRPr="00F814BE">
        <w:rPr>
          <w:rFonts w:ascii="Arial" w:eastAsia="Calibri" w:hAnsi="Arial" w:cs="Arial"/>
          <w:sz w:val="20"/>
          <w:szCs w:val="20"/>
        </w:rPr>
        <w:t>Amennyiben</w:t>
      </w:r>
      <w:proofErr w:type="gramEnd"/>
      <w:r w:rsidRPr="00F814BE">
        <w:rPr>
          <w:rFonts w:ascii="Arial" w:eastAsia="Calibri" w:hAnsi="Arial" w:cs="Arial"/>
          <w:sz w:val="20"/>
          <w:szCs w:val="20"/>
        </w:rPr>
        <w:t xml:space="preserve"> a vállalkozás megmentési támogatásban részesült és még nem fizette vissza a kölcsönt vagy szüntette meg a kezességvállalást, illetve szerkezetátalakítási támogatásban részesült és még mindig szerkezetátalakítási terv hatálya alá tartozik.</w:t>
      </w:r>
    </w:p>
    <w:p w:rsidR="00C05820" w:rsidRPr="00F814BE" w:rsidRDefault="00813041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proofErr w:type="gramStart"/>
      <w:r w:rsidRPr="00F814BE">
        <w:t>e</w:t>
      </w:r>
      <w:proofErr w:type="gramEnd"/>
      <w:r w:rsidRPr="00F814BE">
        <w:t xml:space="preserve">) </w:t>
      </w:r>
      <w:r w:rsidR="00DF2BEC" w:rsidRPr="00F814BE">
        <w:t>O</w:t>
      </w:r>
      <w:r w:rsidR="00C05820" w:rsidRPr="00F814BE">
        <w:rPr>
          <w:rFonts w:ascii="Arial" w:eastAsia="Calibri" w:hAnsi="Arial" w:cs="Arial"/>
          <w:sz w:val="20"/>
          <w:szCs w:val="20"/>
        </w:rPr>
        <w:t>lyan vállalkozás esetében, amely nem kkv, amennyiben az elmúlt két évben:</w:t>
      </w:r>
    </w:p>
    <w:p w:rsidR="00C05820" w:rsidRPr="00F814BE" w:rsidRDefault="00C05820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(1) a vállalkozás könyv szerinti adósság-saját tőke aránya 7,5-nél magasabb volt és</w:t>
      </w:r>
    </w:p>
    <w:p w:rsidR="00032ADD" w:rsidRPr="00F814BE" w:rsidRDefault="00C05820" w:rsidP="00813041">
      <w:pPr>
        <w:spacing w:after="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(2) a vállalkozás EBITDA-</w:t>
      </w:r>
      <w:proofErr w:type="spellStart"/>
      <w:r w:rsidRPr="00F814BE">
        <w:rPr>
          <w:rFonts w:ascii="Arial" w:eastAsia="Calibri" w:hAnsi="Arial" w:cs="Arial"/>
          <w:sz w:val="20"/>
          <w:szCs w:val="20"/>
        </w:rPr>
        <w:t>val</w:t>
      </w:r>
      <w:proofErr w:type="spellEnd"/>
      <w:r w:rsidRPr="00F814BE">
        <w:rPr>
          <w:rFonts w:ascii="Arial" w:eastAsia="Calibri" w:hAnsi="Arial" w:cs="Arial"/>
          <w:sz w:val="20"/>
          <w:szCs w:val="20"/>
        </w:rPr>
        <w:t xml:space="preserve"> számolt kamatfedezeti rátája nem érte el az 1,0 értéket.</w:t>
      </w: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92976" w:rsidRPr="00F814BE" w:rsidRDefault="00592976" w:rsidP="005F37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F37AB" w:rsidRPr="00F814BE" w:rsidRDefault="005F37AB" w:rsidP="005F37A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F814BE">
        <w:rPr>
          <w:rFonts w:ascii="Arial" w:eastAsia="Calibri" w:hAnsi="Arial" w:cs="Arial"/>
          <w:b/>
          <w:sz w:val="20"/>
          <w:szCs w:val="20"/>
        </w:rPr>
        <w:lastRenderedPageBreak/>
        <w:t>2. Mikro-, kis- és középvállalkozás</w:t>
      </w:r>
      <w:r w:rsidR="00C05820" w:rsidRPr="00F814BE">
        <w:rPr>
          <w:rFonts w:ascii="Arial" w:eastAsia="Calibri" w:hAnsi="Arial" w:cs="Arial"/>
          <w:b/>
          <w:sz w:val="20"/>
          <w:szCs w:val="20"/>
        </w:rPr>
        <w:t>ok</w:t>
      </w:r>
      <w:r w:rsidRPr="00F814BE">
        <w:rPr>
          <w:rFonts w:ascii="Arial" w:eastAsia="Calibri" w:hAnsi="Arial" w:cs="Arial"/>
          <w:b/>
          <w:sz w:val="20"/>
          <w:szCs w:val="20"/>
        </w:rPr>
        <w:t xml:space="preserve"> </w:t>
      </w:r>
      <w:r w:rsidR="00C05820" w:rsidRPr="00F814BE">
        <w:rPr>
          <w:rFonts w:ascii="Arial" w:eastAsia="Calibri" w:hAnsi="Arial" w:cs="Arial"/>
          <w:b/>
          <w:sz w:val="20"/>
          <w:szCs w:val="20"/>
        </w:rPr>
        <w:t xml:space="preserve">(KKV) meghatározása </w:t>
      </w:r>
    </w:p>
    <w:p w:rsidR="00592976" w:rsidRPr="00F814BE" w:rsidRDefault="00592976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A kis- és középvállalkozásokról, fejlődésük támogatásáról szóló 2004. évi XXXIV. törvény 3. §-a szerint KKV-nak minősül az a vállalkozás, amelynek:</w:t>
      </w:r>
    </w:p>
    <w:p w:rsidR="00592976" w:rsidRPr="00F814BE" w:rsidRDefault="00592976" w:rsidP="00592976">
      <w:pPr>
        <w:numPr>
          <w:ilvl w:val="1"/>
          <w:numId w:val="8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összes foglalkoztatotti létszáma 250 főnél kevesebb, és</w:t>
      </w:r>
    </w:p>
    <w:p w:rsidR="00592976" w:rsidRPr="00F814BE" w:rsidRDefault="00592976" w:rsidP="00592976">
      <w:pPr>
        <w:numPr>
          <w:ilvl w:val="1"/>
          <w:numId w:val="8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éves nettó árbevétele legfeljebb 50 millió eurónak megfelelő forintösszeg, vagy mérlegfőösszege legfeljebb 43 millió eurónak megfelelő forintösszeg. (középvállalkozás)</w:t>
      </w:r>
    </w:p>
    <w:p w:rsidR="00592976" w:rsidRPr="00F814BE" w:rsidRDefault="00592976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A KKV kategórián belül kisvállalkozásnak minősül az a vállalkozás, amelynek:</w:t>
      </w:r>
    </w:p>
    <w:p w:rsidR="00592976" w:rsidRPr="00F814BE" w:rsidRDefault="00592976" w:rsidP="00592976">
      <w:pPr>
        <w:numPr>
          <w:ilvl w:val="2"/>
          <w:numId w:val="10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összes foglalkoztatotti létszáma 50 főnél kevesebb, és</w:t>
      </w:r>
    </w:p>
    <w:p w:rsidR="003D70A5" w:rsidRPr="00F814BE" w:rsidRDefault="00592976" w:rsidP="003D3465">
      <w:pPr>
        <w:numPr>
          <w:ilvl w:val="2"/>
          <w:numId w:val="10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éves nettó árbevétele vagy mérlegfőösszege legfeljebb 10 millió eurónak megfelelő forintösszeg.</w:t>
      </w:r>
    </w:p>
    <w:p w:rsidR="00FF7227" w:rsidRPr="00F814BE" w:rsidRDefault="00FF7227" w:rsidP="00FF7227">
      <w:pPr>
        <w:spacing w:after="0" w:line="276" w:lineRule="auto"/>
        <w:ind w:left="207"/>
        <w:jc w:val="both"/>
        <w:rPr>
          <w:rFonts w:ascii="Arial" w:eastAsia="Calibri" w:hAnsi="Arial" w:cs="Arial"/>
          <w:sz w:val="20"/>
          <w:szCs w:val="20"/>
        </w:rPr>
      </w:pPr>
    </w:p>
    <w:p w:rsidR="00592976" w:rsidRPr="00F814BE" w:rsidRDefault="00592976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 xml:space="preserve">A KKV </w:t>
      </w:r>
      <w:proofErr w:type="gramStart"/>
      <w:r w:rsidRPr="00F814BE">
        <w:rPr>
          <w:rFonts w:ascii="Arial" w:eastAsia="Calibri" w:hAnsi="Arial" w:cs="Arial"/>
          <w:sz w:val="20"/>
          <w:szCs w:val="20"/>
        </w:rPr>
        <w:t>kategórián</w:t>
      </w:r>
      <w:proofErr w:type="gramEnd"/>
      <w:r w:rsidRPr="00F814BE">
        <w:rPr>
          <w:rFonts w:ascii="Arial" w:eastAsia="Calibri" w:hAnsi="Arial" w:cs="Arial"/>
          <w:sz w:val="20"/>
          <w:szCs w:val="20"/>
        </w:rPr>
        <w:t xml:space="preserve"> belül </w:t>
      </w:r>
      <w:proofErr w:type="spellStart"/>
      <w:r w:rsidRPr="00F814BE">
        <w:rPr>
          <w:rFonts w:ascii="Arial" w:eastAsia="Calibri" w:hAnsi="Arial" w:cs="Arial"/>
          <w:sz w:val="20"/>
          <w:szCs w:val="20"/>
        </w:rPr>
        <w:t>mikrovállalkozásnak</w:t>
      </w:r>
      <w:proofErr w:type="spellEnd"/>
      <w:r w:rsidRPr="00F814BE">
        <w:rPr>
          <w:rFonts w:ascii="Arial" w:eastAsia="Calibri" w:hAnsi="Arial" w:cs="Arial"/>
          <w:sz w:val="20"/>
          <w:szCs w:val="20"/>
        </w:rPr>
        <w:t xml:space="preserve"> minősül az a vállalkozás, amelynek:</w:t>
      </w:r>
    </w:p>
    <w:p w:rsidR="00592976" w:rsidRPr="00F814BE" w:rsidRDefault="00592976" w:rsidP="00592976">
      <w:pPr>
        <w:numPr>
          <w:ilvl w:val="1"/>
          <w:numId w:val="9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összes foglalkoztatotti létszáma 10 főnél kevesebb, és</w:t>
      </w:r>
    </w:p>
    <w:p w:rsidR="00592976" w:rsidRPr="00F814BE" w:rsidRDefault="00592976" w:rsidP="00592976">
      <w:pPr>
        <w:numPr>
          <w:ilvl w:val="1"/>
          <w:numId w:val="9"/>
        </w:numPr>
        <w:tabs>
          <w:tab w:val="num" w:pos="567"/>
        </w:tabs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éves nettó árbevétele vagy mérlegfőösszege legfeljebb 2 millió eurónak megfelelő forintösszeg.</w:t>
      </w:r>
    </w:p>
    <w:p w:rsidR="00592976" w:rsidRPr="00F814BE" w:rsidRDefault="00592976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592976" w:rsidRPr="00F814BE" w:rsidRDefault="00592976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F814BE">
        <w:rPr>
          <w:rFonts w:ascii="Arial" w:eastAsia="Calibri" w:hAnsi="Arial" w:cs="Arial"/>
          <w:sz w:val="20"/>
          <w:szCs w:val="20"/>
        </w:rPr>
        <w:t>Nem minősül KKV-</w:t>
      </w:r>
      <w:proofErr w:type="spellStart"/>
      <w:r w:rsidRPr="00F814BE">
        <w:rPr>
          <w:rFonts w:ascii="Arial" w:eastAsia="Calibri" w:hAnsi="Arial" w:cs="Arial"/>
          <w:sz w:val="20"/>
          <w:szCs w:val="20"/>
        </w:rPr>
        <w:t>nek</w:t>
      </w:r>
      <w:proofErr w:type="spellEnd"/>
      <w:r w:rsidRPr="00F814BE">
        <w:rPr>
          <w:rFonts w:ascii="Arial" w:eastAsia="Calibri" w:hAnsi="Arial" w:cs="Arial"/>
          <w:sz w:val="20"/>
          <w:szCs w:val="20"/>
        </w:rPr>
        <w:t xml:space="preserve"> az a vállalkozás, amelyben az állam vagy az önkormányzat közvetlen vagy közvetett tulajdoni részesedése (tőke vagy szavazati joga alapján) külön-külön vagy együttesen meghaladja a 25%-</w:t>
      </w:r>
      <w:proofErr w:type="spellStart"/>
      <w:r w:rsidRPr="00F814BE">
        <w:rPr>
          <w:rFonts w:ascii="Arial" w:eastAsia="Calibri" w:hAnsi="Arial" w:cs="Arial"/>
          <w:sz w:val="20"/>
          <w:szCs w:val="20"/>
        </w:rPr>
        <w:t>ot</w:t>
      </w:r>
      <w:proofErr w:type="spellEnd"/>
      <w:r w:rsidRPr="00F814BE">
        <w:rPr>
          <w:rFonts w:ascii="Arial" w:eastAsia="Calibri" w:hAnsi="Arial" w:cs="Arial"/>
          <w:sz w:val="20"/>
          <w:szCs w:val="20"/>
        </w:rPr>
        <w:t>.</w:t>
      </w:r>
    </w:p>
    <w:p w:rsidR="00E90903" w:rsidRPr="00F814BE" w:rsidRDefault="00E90903" w:rsidP="00592976">
      <w:pPr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:rsidR="00E90903" w:rsidRPr="00F814BE" w:rsidRDefault="00C42E53" w:rsidP="00E909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hyperlink r:id="rId7" w:history="1">
        <w:r w:rsidR="00E90903" w:rsidRPr="00C42E53">
          <w:rPr>
            <w:rStyle w:val="Hiperhivatkozs"/>
            <w:rFonts w:ascii="Arial" w:eastAsia="Times New Roman" w:hAnsi="Arial" w:cs="Arial"/>
            <w:color w:val="2E74B5" w:themeColor="accent1" w:themeShade="BF"/>
            <w:sz w:val="20"/>
            <w:szCs w:val="20"/>
            <w:lang w:eastAsia="hu-HU"/>
          </w:rPr>
          <w:t>https://nfsz.munka.hu/nfsz/document/5/9/0/3/doc_url/TAJEKOZTATO_KIS_KOZEP_ES_MIKRO_VALLALKOZASOK_BESOROLASAROL.docx</w:t>
        </w:r>
      </w:hyperlink>
      <w:r>
        <w:rPr>
          <w:rStyle w:val="Hiperhivatkozs"/>
          <w:rFonts w:ascii="Arial" w:eastAsia="Times New Roman" w:hAnsi="Arial" w:cs="Arial"/>
          <w:color w:val="auto"/>
          <w:sz w:val="20"/>
          <w:szCs w:val="20"/>
          <w:lang w:eastAsia="hu-HU"/>
        </w:rPr>
        <w:t xml:space="preserve"> </w:t>
      </w:r>
      <w:r w:rsidR="00E90903" w:rsidRPr="00F814BE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</w:p>
    <w:p w:rsidR="00E90903" w:rsidRPr="00F814BE" w:rsidRDefault="00E90903" w:rsidP="00E909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90903" w:rsidRPr="00F814BE" w:rsidRDefault="00E90903" w:rsidP="00E909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E90903" w:rsidRPr="00F814BE" w:rsidRDefault="00E90903" w:rsidP="00E9090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814BE">
        <w:rPr>
          <w:rFonts w:ascii="Arial" w:hAnsi="Arial" w:cs="Arial"/>
          <w:b/>
          <w:bCs/>
          <w:sz w:val="20"/>
          <w:szCs w:val="20"/>
        </w:rPr>
        <w:t>3. Egy és ugyanazon v</w:t>
      </w:r>
      <w:bookmarkStart w:id="1" w:name="_GoBack"/>
      <w:bookmarkEnd w:id="1"/>
      <w:r w:rsidRPr="00F814BE">
        <w:rPr>
          <w:rFonts w:ascii="Arial" w:hAnsi="Arial" w:cs="Arial"/>
          <w:b/>
          <w:bCs/>
          <w:sz w:val="20"/>
          <w:szCs w:val="20"/>
        </w:rPr>
        <w:t>állalkozás</w:t>
      </w:r>
    </w:p>
    <w:p w:rsidR="00E90903" w:rsidRPr="00F814BE" w:rsidRDefault="00E90903" w:rsidP="00E90903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F814BE">
        <w:rPr>
          <w:rFonts w:ascii="Arial" w:hAnsi="Arial" w:cs="Arial"/>
          <w:sz w:val="20"/>
          <w:szCs w:val="20"/>
        </w:rPr>
        <w:t xml:space="preserve">A </w:t>
      </w:r>
      <w:r w:rsidRPr="00F814BE">
        <w:rPr>
          <w:rFonts w:ascii="Arial" w:hAnsi="Arial" w:cs="Arial"/>
          <w:bCs/>
          <w:sz w:val="20"/>
          <w:szCs w:val="20"/>
        </w:rPr>
        <w:t>37/201</w:t>
      </w:r>
      <w:r w:rsidR="00606E0B" w:rsidRPr="00F814BE">
        <w:rPr>
          <w:rFonts w:ascii="Arial" w:hAnsi="Arial" w:cs="Arial"/>
          <w:bCs/>
          <w:sz w:val="20"/>
          <w:szCs w:val="20"/>
        </w:rPr>
        <w:t xml:space="preserve">1. (III. 22.) </w:t>
      </w:r>
      <w:proofErr w:type="gramStart"/>
      <w:r w:rsidR="00606E0B" w:rsidRPr="00F814BE">
        <w:rPr>
          <w:rFonts w:ascii="Arial" w:hAnsi="Arial" w:cs="Arial"/>
          <w:bCs/>
          <w:sz w:val="20"/>
          <w:szCs w:val="20"/>
        </w:rPr>
        <w:t>Korm. rendelet 2.</w:t>
      </w:r>
      <w:r w:rsidRPr="00F814BE">
        <w:rPr>
          <w:rFonts w:ascii="Arial" w:hAnsi="Arial" w:cs="Arial"/>
          <w:bCs/>
          <w:sz w:val="20"/>
          <w:szCs w:val="20"/>
        </w:rPr>
        <w:t>§ 5a. pontja értelmében e</w:t>
      </w:r>
      <w:r w:rsidRPr="00F814BE">
        <w:rPr>
          <w:rFonts w:ascii="Arial" w:hAnsi="Arial" w:cs="Arial"/>
          <w:iCs/>
          <w:sz w:val="20"/>
          <w:szCs w:val="20"/>
        </w:rPr>
        <w:t>gy és ugyanazon vállalkozás:</w:t>
      </w:r>
      <w:r w:rsidRPr="00F814BE">
        <w:rPr>
          <w:rFonts w:ascii="Arial" w:hAnsi="Arial" w:cs="Arial"/>
          <w:sz w:val="20"/>
          <w:szCs w:val="20"/>
        </w:rPr>
        <w:t xml:space="preserve"> az 1407/2013/EU bizottsági rendelet 2. cikk (2) bekezdése, az 1408/2013/EU bizottsági rendelet 2. cikk (2) bekezdése a 717/2014/EU bizottsági rendelet 2. cikk (2) bekezdése, az (EU) 2023/2831 bizottsági rendelet 2. cikk (2) bekezdése és az (EU) 2023/2832 bizottsági rendelet 2. cikk (2) bekezdése szerinti vállalkozás.</w:t>
      </w:r>
      <w:proofErr w:type="gramEnd"/>
    </w:p>
    <w:p w:rsidR="00E90903" w:rsidRPr="00F814BE" w:rsidRDefault="00E90903" w:rsidP="00E9090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814BE">
        <w:rPr>
          <w:rFonts w:ascii="Arial" w:hAnsi="Arial" w:cs="Arial"/>
          <w:color w:val="auto"/>
          <w:sz w:val="20"/>
          <w:szCs w:val="20"/>
        </w:rPr>
        <w:t>„Egy és ugyanazon vállalkozás” a fenti uniós rendeletek alkalmazásában valamennyi olyan vállalkozás, amelyek között az alábbi kapcsolatok legalább egyike fennáll:</w:t>
      </w:r>
    </w:p>
    <w:p w:rsidR="00E90903" w:rsidRPr="00F814BE" w:rsidRDefault="00E90903" w:rsidP="00E90903">
      <w:pPr>
        <w:pStyle w:val="Default"/>
        <w:rPr>
          <w:rFonts w:ascii="Arial" w:hAnsi="Arial" w:cs="Arial"/>
          <w:color w:val="auto"/>
          <w:sz w:val="20"/>
          <w:szCs w:val="20"/>
        </w:rPr>
      </w:pPr>
      <w:proofErr w:type="gramStart"/>
      <w:r w:rsidRPr="00F814BE">
        <w:rPr>
          <w:rFonts w:ascii="Arial" w:hAnsi="Arial" w:cs="Arial"/>
          <w:color w:val="auto"/>
          <w:sz w:val="20"/>
          <w:szCs w:val="20"/>
        </w:rPr>
        <w:t>a</w:t>
      </w:r>
      <w:proofErr w:type="gramEnd"/>
      <w:r w:rsidRPr="00F814BE">
        <w:rPr>
          <w:rFonts w:ascii="Arial" w:hAnsi="Arial" w:cs="Arial"/>
          <w:color w:val="auto"/>
          <w:sz w:val="20"/>
          <w:szCs w:val="20"/>
        </w:rPr>
        <w:t>) az egyik vállalkozás rendelkezik a részvényesek vagy tagok szavazati jogának többségével egy másik vállalkozásban;</w:t>
      </w:r>
    </w:p>
    <w:p w:rsidR="00E90903" w:rsidRPr="00F814BE" w:rsidRDefault="00E90903" w:rsidP="00E9090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814BE">
        <w:rPr>
          <w:rFonts w:ascii="Arial" w:hAnsi="Arial" w:cs="Arial"/>
          <w:color w:val="auto"/>
          <w:sz w:val="20"/>
          <w:szCs w:val="20"/>
        </w:rPr>
        <w:t xml:space="preserve">b) az egyik vállalkozás jogosult kinevezni vagy elmozdítani egy másik </w:t>
      </w:r>
      <w:proofErr w:type="gramStart"/>
      <w:r w:rsidRPr="00F814BE">
        <w:rPr>
          <w:rFonts w:ascii="Arial" w:hAnsi="Arial" w:cs="Arial"/>
          <w:color w:val="auto"/>
          <w:sz w:val="20"/>
          <w:szCs w:val="20"/>
        </w:rPr>
        <w:t>vállalkozás igazgatási</w:t>
      </w:r>
      <w:proofErr w:type="gramEnd"/>
      <w:r w:rsidRPr="00F814BE">
        <w:rPr>
          <w:rFonts w:ascii="Arial" w:hAnsi="Arial" w:cs="Arial"/>
          <w:color w:val="auto"/>
          <w:sz w:val="20"/>
          <w:szCs w:val="20"/>
        </w:rPr>
        <w:t>, irányító vagy felügyelő testülete tagjainak többségét;</w:t>
      </w:r>
    </w:p>
    <w:p w:rsidR="00E90903" w:rsidRPr="00F814BE" w:rsidRDefault="00E90903" w:rsidP="00E9090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814BE">
        <w:rPr>
          <w:rFonts w:ascii="Arial" w:hAnsi="Arial" w:cs="Arial"/>
          <w:color w:val="auto"/>
          <w:sz w:val="20"/>
          <w:szCs w:val="20"/>
        </w:rPr>
        <w:t>c) az egyik vállalkozás valamely másik vállalkozás felett meghatározó befolyást gyakorolhat az e vállalkozással kötött szerződés alapján vagy az alapító okiratában vagy alapszabályában meghatározott rendelkezés alapján;</w:t>
      </w:r>
    </w:p>
    <w:p w:rsidR="00E90903" w:rsidRPr="00F814BE" w:rsidRDefault="00E90903" w:rsidP="00E9090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F814BE">
        <w:rPr>
          <w:rFonts w:ascii="Arial" w:hAnsi="Arial" w:cs="Arial"/>
          <w:color w:val="auto"/>
          <w:sz w:val="20"/>
          <w:szCs w:val="20"/>
        </w:rPr>
        <w:t>d) az egyik vállalkozás, amely valamely másik vállalkozás részvényese vagy tagja, e vállalkozás többi részvényesével vagy tagjával kötött megállapodás alapján egyedül birtokolja a másik vállalkozásban a részvényesek vagy tagok szavazati jogának többségét.</w:t>
      </w:r>
    </w:p>
    <w:p w:rsidR="00E90903" w:rsidRPr="00F814BE" w:rsidRDefault="00E90903" w:rsidP="00E9090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F814BE">
        <w:rPr>
          <w:rFonts w:ascii="Arial" w:hAnsi="Arial" w:cs="Arial"/>
          <w:sz w:val="20"/>
          <w:szCs w:val="20"/>
        </w:rPr>
        <w:t>Az egy vagy több másik vállalkozáson keresztül az a)–d) pontban említett kapcsolatok egyikével rendelkező vállalkozásokat is egy és ugyanazon vállalkozásnak kell tekinteni.</w:t>
      </w:r>
    </w:p>
    <w:p w:rsidR="00592976" w:rsidRPr="00F814BE" w:rsidRDefault="00592976" w:rsidP="0059297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</w:p>
    <w:sectPr w:rsidR="00592976" w:rsidRPr="00F814BE" w:rsidSect="00310400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00" w:rsidRDefault="00310400" w:rsidP="00310400">
      <w:pPr>
        <w:spacing w:after="0" w:line="240" w:lineRule="auto"/>
      </w:pPr>
      <w:r>
        <w:separator/>
      </w:r>
    </w:p>
  </w:endnote>
  <w:endnote w:type="continuationSeparator" w:id="0">
    <w:p w:rsidR="00310400" w:rsidRDefault="00310400" w:rsidP="003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00" w:rsidRPr="00310400" w:rsidRDefault="007D30FF" w:rsidP="00310400">
    <w:pPr>
      <w:pBdr>
        <w:between w:val="single" w:sz="2" w:space="1" w:color="auto"/>
      </w:pBdr>
      <w:autoSpaceDE w:val="0"/>
      <w:autoSpaceDN w:val="0"/>
      <w:adjustRightInd w:val="0"/>
      <w:spacing w:after="200" w:line="200" w:lineRule="atLeast"/>
      <w:ind w:right="3116"/>
      <w:textAlignment w:val="center"/>
      <w:rPr>
        <w:rFonts w:ascii="Arial" w:eastAsia="Calibri" w:hAnsi="Arial" w:cs="Arial"/>
        <w:i/>
        <w:color w:val="000000"/>
        <w:spacing w:val="2"/>
        <w:sz w:val="20"/>
        <w:szCs w:val="20"/>
      </w:rPr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1D7475A">
          <wp:simplePos x="0" y="0"/>
          <wp:positionH relativeFrom="column">
            <wp:posOffset>5301466</wp:posOffset>
          </wp:positionH>
          <wp:positionV relativeFrom="page">
            <wp:posOffset>9876490</wp:posOffset>
          </wp:positionV>
          <wp:extent cx="895985" cy="609600"/>
          <wp:effectExtent l="0" t="0" r="0" b="0"/>
          <wp:wrapTight wrapText="bothSides">
            <wp:wrapPolygon edited="0">
              <wp:start x="0" y="0"/>
              <wp:lineTo x="0" y="20925"/>
              <wp:lineTo x="21125" y="20925"/>
              <wp:lineTo x="21125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624" w:rsidRPr="000D6624">
      <w:rPr>
        <w:rFonts w:ascii="Arial" w:eastAsia="Calibri" w:hAnsi="Arial" w:cs="Arial"/>
        <w:b/>
        <w:i/>
        <w:noProof/>
        <w:sz w:val="20"/>
        <w:szCs w:val="20"/>
        <w:highlight w:val="yellow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00" w:rsidRDefault="00310400" w:rsidP="00310400">
      <w:pPr>
        <w:spacing w:after="0" w:line="240" w:lineRule="auto"/>
      </w:pPr>
      <w:r>
        <w:separator/>
      </w:r>
    </w:p>
  </w:footnote>
  <w:footnote w:type="continuationSeparator" w:id="0">
    <w:p w:rsidR="00310400" w:rsidRDefault="00310400" w:rsidP="00310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00" w:rsidRPr="00B0010A" w:rsidRDefault="006A539D" w:rsidP="00310400">
    <w:pPr>
      <w:tabs>
        <w:tab w:val="center" w:pos="4536"/>
        <w:tab w:val="right" w:pos="9072"/>
      </w:tabs>
      <w:autoSpaceDE w:val="0"/>
      <w:autoSpaceDN w:val="0"/>
      <w:adjustRightInd w:val="0"/>
      <w:ind w:left="126"/>
      <w:jc w:val="center"/>
      <w:rPr>
        <w:rFonts w:ascii="Arial" w:hAnsi="Arial" w:cs="Arial"/>
        <w:i/>
        <w:sz w:val="20"/>
        <w:szCs w:val="20"/>
      </w:rPr>
    </w:pPr>
    <w:r w:rsidRPr="006A539D">
      <w:rPr>
        <w:rFonts w:ascii="Cambria" w:eastAsia="MS Mincho" w:hAnsi="Cambria" w:cs="Times New Roman"/>
        <w:noProof/>
        <w:sz w:val="24"/>
        <w:szCs w:val="24"/>
        <w:lang w:eastAsia="hu-HU"/>
      </w:rPr>
      <w:drawing>
        <wp:anchor distT="0" distB="0" distL="114300" distR="114300" simplePos="0" relativeHeight="251660288" behindDoc="0" locked="0" layoutInCell="1" allowOverlap="1" wp14:anchorId="38D2BB0C" wp14:editId="075E9919">
          <wp:simplePos x="0" y="0"/>
          <wp:positionH relativeFrom="page">
            <wp:posOffset>11772</wp:posOffset>
          </wp:positionH>
          <wp:positionV relativeFrom="paragraph">
            <wp:posOffset>-431458</wp:posOffset>
          </wp:positionV>
          <wp:extent cx="4018085" cy="1146702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18085" cy="114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0400" w:rsidRDefault="003104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0676"/>
    <w:multiLevelType w:val="hybridMultilevel"/>
    <w:tmpl w:val="26B69D24"/>
    <w:lvl w:ilvl="0" w:tplc="DDCEC3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945"/>
    <w:multiLevelType w:val="hybridMultilevel"/>
    <w:tmpl w:val="58E0F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D77CE"/>
    <w:multiLevelType w:val="hybridMultilevel"/>
    <w:tmpl w:val="A9EA1746"/>
    <w:lvl w:ilvl="0" w:tplc="54104C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1B8FF9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 w:val="0"/>
        <w:color w:val="auto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9185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A3869"/>
    <w:multiLevelType w:val="hybridMultilevel"/>
    <w:tmpl w:val="9C329EF0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04CE62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6D7317"/>
    <w:multiLevelType w:val="hybridMultilevel"/>
    <w:tmpl w:val="B47EC0B6"/>
    <w:lvl w:ilvl="0" w:tplc="D068B5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C52B1"/>
    <w:multiLevelType w:val="hybridMultilevel"/>
    <w:tmpl w:val="1B387BEE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8E223B"/>
    <w:multiLevelType w:val="hybridMultilevel"/>
    <w:tmpl w:val="B36259A2"/>
    <w:lvl w:ilvl="0" w:tplc="0204CE62">
      <w:start w:val="1"/>
      <w:numFmt w:val="lowerLetter"/>
      <w:lvlText w:val="%1)"/>
      <w:lvlJc w:val="left"/>
      <w:pPr>
        <w:tabs>
          <w:tab w:val="num" w:pos="924"/>
        </w:tabs>
        <w:ind w:left="1644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9">
      <w:start w:val="1"/>
      <w:numFmt w:val="lowerLetter"/>
      <w:lvlText w:val="%3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782C29"/>
    <w:multiLevelType w:val="hybridMultilevel"/>
    <w:tmpl w:val="C87CD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80980"/>
    <w:multiLevelType w:val="hybridMultilevel"/>
    <w:tmpl w:val="2C18F6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00"/>
    <w:rsid w:val="00005B83"/>
    <w:rsid w:val="00032ADD"/>
    <w:rsid w:val="000D394C"/>
    <w:rsid w:val="000D6624"/>
    <w:rsid w:val="0010625B"/>
    <w:rsid w:val="00160180"/>
    <w:rsid w:val="001C00BB"/>
    <w:rsid w:val="001D355C"/>
    <w:rsid w:val="002247FA"/>
    <w:rsid w:val="0023616A"/>
    <w:rsid w:val="0028287C"/>
    <w:rsid w:val="002C508B"/>
    <w:rsid w:val="00310400"/>
    <w:rsid w:val="003950BF"/>
    <w:rsid w:val="00396EFB"/>
    <w:rsid w:val="003D4D3D"/>
    <w:rsid w:val="003D70A5"/>
    <w:rsid w:val="004A36B7"/>
    <w:rsid w:val="004F79A4"/>
    <w:rsid w:val="00592976"/>
    <w:rsid w:val="005F32EC"/>
    <w:rsid w:val="005F37AB"/>
    <w:rsid w:val="00606E0B"/>
    <w:rsid w:val="0066085C"/>
    <w:rsid w:val="006A539D"/>
    <w:rsid w:val="0071381D"/>
    <w:rsid w:val="0076611C"/>
    <w:rsid w:val="007C4A59"/>
    <w:rsid w:val="007D30FF"/>
    <w:rsid w:val="00813041"/>
    <w:rsid w:val="008A0FB5"/>
    <w:rsid w:val="008E73A4"/>
    <w:rsid w:val="009203D1"/>
    <w:rsid w:val="00935491"/>
    <w:rsid w:val="009539F7"/>
    <w:rsid w:val="00A20697"/>
    <w:rsid w:val="00A90E0B"/>
    <w:rsid w:val="00B17CE3"/>
    <w:rsid w:val="00B56702"/>
    <w:rsid w:val="00BE760E"/>
    <w:rsid w:val="00C0575D"/>
    <w:rsid w:val="00C05820"/>
    <w:rsid w:val="00C42E53"/>
    <w:rsid w:val="00C8193E"/>
    <w:rsid w:val="00C958B3"/>
    <w:rsid w:val="00DA2C58"/>
    <w:rsid w:val="00DF2BEC"/>
    <w:rsid w:val="00E6012E"/>
    <w:rsid w:val="00E90903"/>
    <w:rsid w:val="00F65AE8"/>
    <w:rsid w:val="00F80508"/>
    <w:rsid w:val="00F814BE"/>
    <w:rsid w:val="00FA6F06"/>
    <w:rsid w:val="00FB3ED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9FD6438"/>
  <w15:chartTrackingRefBased/>
  <w15:docId w15:val="{7315E913-6AB7-488C-8334-8712115C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0400"/>
  </w:style>
  <w:style w:type="paragraph" w:styleId="llb">
    <w:name w:val="footer"/>
    <w:basedOn w:val="Norml"/>
    <w:link w:val="llbChar"/>
    <w:uiPriority w:val="99"/>
    <w:unhideWhenUsed/>
    <w:rsid w:val="00310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0400"/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396EFB"/>
    <w:pPr>
      <w:spacing w:before="100" w:beforeAutospacing="1" w:after="100" w:afterAutospacing="1" w:line="240" w:lineRule="auto"/>
      <w:ind w:left="720"/>
      <w:contextualSpacing/>
      <w:jc w:val="both"/>
    </w:p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396EFB"/>
  </w:style>
  <w:style w:type="paragraph" w:styleId="Buborkszveg">
    <w:name w:val="Balloon Text"/>
    <w:basedOn w:val="Norml"/>
    <w:link w:val="BuborkszvegChar"/>
    <w:uiPriority w:val="99"/>
    <w:semiHidden/>
    <w:unhideWhenUsed/>
    <w:rsid w:val="00F80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0508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E90903"/>
    <w:pPr>
      <w:suppressAutoHyphens/>
      <w:spacing w:beforeAutospacing="1" w:after="0" w:afterAutospacing="1" w:line="240" w:lineRule="auto"/>
      <w:jc w:val="both"/>
    </w:pPr>
    <w:rPr>
      <w:rFonts w:ascii="Palatino Linotype" w:eastAsia="Times New Roman" w:hAnsi="Palatino Linotype" w:cs="Palatino Linotype"/>
      <w:color w:val="000000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E90903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909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fsz.munka.hu/nfsz/document/5/9/0/3/doc_url/TAJEKOZTATO_KIS_KOZEP_ES_MIKRO_VALLALKOZASOK_BESOROLASAROL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817</Words>
  <Characters>5641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Földiné Baksa Beatrix</dc:creator>
  <cp:keywords/>
  <dc:description/>
  <cp:lastModifiedBy>Juhász Katalin</cp:lastModifiedBy>
  <cp:revision>35</cp:revision>
  <cp:lastPrinted>2024-01-16T09:28:00Z</cp:lastPrinted>
  <dcterms:created xsi:type="dcterms:W3CDTF">2024-01-19T11:12:00Z</dcterms:created>
  <dcterms:modified xsi:type="dcterms:W3CDTF">2025-10-06T09:03:00Z</dcterms:modified>
</cp:coreProperties>
</file>