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4AAB" w14:textId="1E7A1B07" w:rsidR="0002697E" w:rsidRPr="00264D99" w:rsidRDefault="00DF0E56" w:rsidP="00DF0E56">
      <w:pPr>
        <w:spacing w:after="120" w:line="276" w:lineRule="auto"/>
        <w:ind w:right="-426"/>
        <w:jc w:val="right"/>
        <w:rPr>
          <w:rFonts w:ascii="Arial" w:eastAsia="Calibri" w:hAnsi="Arial" w:cs="Arial"/>
          <w:sz w:val="20"/>
          <w:szCs w:val="20"/>
        </w:rPr>
      </w:pPr>
      <w:r w:rsidRPr="00DF0E56">
        <w:rPr>
          <w:rFonts w:ascii="Arial" w:eastAsia="Calibri" w:hAnsi="Arial" w:cs="Arial"/>
          <w:color w:val="0000FF"/>
          <w:sz w:val="20"/>
          <w:szCs w:val="20"/>
        </w:rPr>
        <w:t xml:space="preserve">       </w:t>
      </w:r>
      <w:r w:rsidR="0002697E" w:rsidRPr="00402AB8">
        <w:rPr>
          <w:rFonts w:ascii="Arial" w:eastAsia="Calibri" w:hAnsi="Arial" w:cs="Arial"/>
          <w:color w:val="0000FF"/>
          <w:sz w:val="20"/>
          <w:szCs w:val="20"/>
          <w:u w:val="single"/>
        </w:rPr>
        <w:t>TOP_PLUSZ-3.1.1-21-NG1-2022-00001</w:t>
      </w:r>
    </w:p>
    <w:p w14:paraId="0DFDB903" w14:textId="77777777" w:rsidR="008D7E21" w:rsidRDefault="008D7E21" w:rsidP="00396EFB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244D171B" w14:textId="77777777" w:rsidR="00DF0E56" w:rsidRDefault="00DF0E56" w:rsidP="00396EFB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0D52610F" w14:textId="6B472B18" w:rsidR="00396EFB" w:rsidRPr="00396EFB" w:rsidRDefault="00396EFB" w:rsidP="00396EFB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r w:rsidRPr="00396EFB">
        <w:rPr>
          <w:rFonts w:ascii="Arial" w:eastAsia="Calibri" w:hAnsi="Arial" w:cs="Arial"/>
          <w:b/>
          <w:bCs/>
          <w:iCs/>
          <w:sz w:val="20"/>
          <w:szCs w:val="20"/>
        </w:rPr>
        <w:t>TÁJÉKOZTATÓ</w:t>
      </w:r>
    </w:p>
    <w:p w14:paraId="2C62353F" w14:textId="77777777" w:rsidR="00396EFB" w:rsidRPr="00396EFB" w:rsidRDefault="00396EFB" w:rsidP="00396EFB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4EA17F96" w14:textId="26E73C47" w:rsidR="00396EFB" w:rsidRPr="00396EFB" w:rsidRDefault="00396EFB" w:rsidP="00DF0E56">
      <w:pPr>
        <w:ind w:right="-284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  <w:proofErr w:type="gramStart"/>
      <w:r w:rsidRPr="005C541E">
        <w:rPr>
          <w:rFonts w:ascii="Arial" w:eastAsia="Calibri" w:hAnsi="Arial" w:cs="Arial"/>
          <w:b/>
          <w:sz w:val="20"/>
          <w:szCs w:val="20"/>
        </w:rPr>
        <w:t>a</w:t>
      </w:r>
      <w:proofErr w:type="gramEnd"/>
      <w:r w:rsidRPr="005C541E">
        <w:rPr>
          <w:rFonts w:ascii="Arial" w:eastAsia="Calibri" w:hAnsi="Arial" w:cs="Arial"/>
          <w:b/>
          <w:sz w:val="20"/>
          <w:szCs w:val="20"/>
        </w:rPr>
        <w:t xml:space="preserve"> </w:t>
      </w:r>
      <w:r w:rsidR="00F1705F" w:rsidRPr="005C541E">
        <w:rPr>
          <w:rFonts w:ascii="Arial" w:eastAsia="Calibri" w:hAnsi="Arial" w:cs="Arial"/>
          <w:b/>
          <w:bCs/>
          <w:sz w:val="20"/>
          <w:szCs w:val="20"/>
        </w:rPr>
        <w:t>TOP_PLUSZ-3.1.1-21</w:t>
      </w:r>
      <w:r w:rsidR="009320C7" w:rsidRPr="005C541E">
        <w:rPr>
          <w:rFonts w:ascii="Arial" w:eastAsia="Calibri" w:hAnsi="Arial" w:cs="Arial"/>
          <w:b/>
          <w:bCs/>
          <w:sz w:val="20"/>
          <w:szCs w:val="20"/>
        </w:rPr>
        <w:t>-</w:t>
      </w:r>
      <w:r w:rsidR="00FE576D" w:rsidRPr="005C541E">
        <w:rPr>
          <w:rFonts w:ascii="Arial" w:hAnsi="Arial" w:cs="Arial"/>
          <w:b/>
          <w:color w:val="000000" w:themeColor="text1"/>
          <w:sz w:val="20"/>
          <w:szCs w:val="20"/>
        </w:rPr>
        <w:t>Megyei foglalkoztatási–gazdaságfejlesztési együttműködések</w:t>
      </w:r>
      <w:r w:rsidR="00FE576D" w:rsidRPr="009320C7">
        <w:rPr>
          <w:rFonts w:ascii="Arial" w:hAnsi="Arial" w:cs="Arial"/>
          <w:b/>
          <w:color w:val="000000" w:themeColor="text1"/>
        </w:rPr>
        <w:t xml:space="preserve"> </w:t>
      </w:r>
      <w:r w:rsidR="009320C7" w:rsidRPr="007E16DA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TOP_PLUSZ-3.1.1-21-NG1-2022-00001 „Nógrád vármegyei foglalkoztatási paktum Plusz”</w:t>
      </w:r>
      <w:r w:rsidR="009320C7" w:rsidRPr="007E16D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96EFB">
        <w:rPr>
          <w:rFonts w:ascii="Arial" w:eastAsia="Calibri" w:hAnsi="Arial" w:cs="Arial"/>
          <w:b/>
          <w:sz w:val="20"/>
          <w:szCs w:val="20"/>
        </w:rPr>
        <w:t>elnevezésű munkaerőpiaci programból nyújtható</w:t>
      </w:r>
    </w:p>
    <w:p w14:paraId="24A88532" w14:textId="07EC6C57" w:rsidR="00396EFB" w:rsidRPr="00396EFB" w:rsidRDefault="00396EFB" w:rsidP="00396EFB">
      <w:pPr>
        <w:autoSpaceDE w:val="0"/>
        <w:autoSpaceDN w:val="0"/>
        <w:spacing w:after="0" w:line="240" w:lineRule="auto"/>
        <w:ind w:left="126"/>
        <w:jc w:val="center"/>
        <w:rPr>
          <w:rFonts w:ascii="Arial" w:eastAsia="Calibri" w:hAnsi="Arial" w:cs="Arial"/>
          <w:b/>
          <w:sz w:val="20"/>
          <w:szCs w:val="20"/>
        </w:rPr>
      </w:pPr>
      <w:r w:rsidRPr="00396EFB">
        <w:rPr>
          <w:rFonts w:ascii="Arial" w:eastAsia="Calibri" w:hAnsi="Arial" w:cs="Arial"/>
          <w:b/>
          <w:sz w:val="20"/>
          <w:szCs w:val="20"/>
        </w:rPr>
        <w:t xml:space="preserve">HÁTRÁNYOS HELYZETŰ SZEMÉLYEK FOGLALKOZTATÁSÁHOZ KAPCSOLÓDÓ </w:t>
      </w:r>
      <w:proofErr w:type="spellStart"/>
      <w:r w:rsidRPr="00396EFB">
        <w:rPr>
          <w:rFonts w:ascii="Arial" w:eastAsia="Calibri" w:hAnsi="Arial" w:cs="Arial"/>
          <w:b/>
          <w:sz w:val="20"/>
          <w:szCs w:val="20"/>
        </w:rPr>
        <w:t>BÉRTÁMOGATÁShoz</w:t>
      </w:r>
      <w:proofErr w:type="spellEnd"/>
      <w:r w:rsidRPr="00396EFB">
        <w:rPr>
          <w:rFonts w:ascii="Arial" w:eastAsia="Calibri" w:hAnsi="Arial" w:cs="Arial"/>
          <w:b/>
          <w:sz w:val="20"/>
          <w:szCs w:val="20"/>
        </w:rPr>
        <w:t xml:space="preserve"> kapcsolódóan</w:t>
      </w:r>
    </w:p>
    <w:p w14:paraId="700A919F" w14:textId="77777777" w:rsidR="00396EFB" w:rsidRPr="00396EFB" w:rsidRDefault="00396EFB" w:rsidP="00396EFB">
      <w:pPr>
        <w:autoSpaceDE w:val="0"/>
        <w:autoSpaceDN w:val="0"/>
        <w:spacing w:after="0" w:line="240" w:lineRule="auto"/>
        <w:ind w:left="126"/>
        <w:jc w:val="center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60818562" w14:textId="77777777" w:rsidR="00396EFB" w:rsidRPr="00396EFB" w:rsidRDefault="00396EFB" w:rsidP="00396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aps/>
          <w:sz w:val="20"/>
          <w:szCs w:val="20"/>
        </w:rPr>
      </w:pPr>
      <w:bookmarkStart w:id="0" w:name="csoportment"/>
      <w:r w:rsidRPr="00396EFB">
        <w:rPr>
          <w:rFonts w:ascii="Arial" w:eastAsia="Calibri" w:hAnsi="Arial" w:cs="Arial"/>
          <w:b/>
          <w:bCs/>
          <w:iCs/>
          <w:caps/>
          <w:sz w:val="20"/>
          <w:szCs w:val="20"/>
        </w:rPr>
        <w:t>A csoportmentesség általános szabályairól</w:t>
      </w:r>
    </w:p>
    <w:bookmarkEnd w:id="0"/>
    <w:p w14:paraId="63E6EDEC" w14:textId="77777777" w:rsidR="00396EFB" w:rsidRPr="00396EFB" w:rsidRDefault="00396EFB" w:rsidP="00396EFB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</w:p>
    <w:p w14:paraId="2D425119" w14:textId="77777777" w:rsidR="00396EFB" w:rsidRPr="00396EFB" w:rsidRDefault="00396EFB" w:rsidP="00396EFB">
      <w:pPr>
        <w:spacing w:after="0" w:line="240" w:lineRule="auto"/>
        <w:ind w:right="-2"/>
        <w:jc w:val="both"/>
        <w:rPr>
          <w:rFonts w:ascii="Arial" w:eastAsia="Calibri" w:hAnsi="Arial" w:cs="Arial"/>
          <w:sz w:val="20"/>
          <w:szCs w:val="20"/>
        </w:rPr>
      </w:pPr>
      <w:r w:rsidRPr="00396EFB">
        <w:rPr>
          <w:rFonts w:ascii="Arial" w:eastAsia="Calibri" w:hAnsi="Arial" w:cs="Arial"/>
          <w:sz w:val="20"/>
          <w:szCs w:val="20"/>
        </w:rPr>
        <w:t xml:space="preserve">A Szerződés 107. és 108. cikke alkalmazásában bizonyos támogatási </w:t>
      </w:r>
      <w:proofErr w:type="gramStart"/>
      <w:r w:rsidRPr="00396EFB">
        <w:rPr>
          <w:rFonts w:ascii="Arial" w:eastAsia="Calibri" w:hAnsi="Arial" w:cs="Arial"/>
          <w:sz w:val="20"/>
          <w:szCs w:val="20"/>
        </w:rPr>
        <w:t>kategóriáknak</w:t>
      </w:r>
      <w:proofErr w:type="gramEnd"/>
      <w:r w:rsidRPr="00396EFB">
        <w:rPr>
          <w:rFonts w:ascii="Arial" w:eastAsia="Calibri" w:hAnsi="Arial" w:cs="Arial"/>
          <w:sz w:val="20"/>
          <w:szCs w:val="20"/>
        </w:rPr>
        <w:t xml:space="preserve"> a belső piaccal összeegyeztethetőnek nyilvánításáról szóló 651/2014/EU</w:t>
      </w:r>
      <w:r w:rsidRPr="00396EFB">
        <w:rPr>
          <w:rFonts w:ascii="Arial" w:eastAsia="Calibri" w:hAnsi="Arial" w:cs="Arial"/>
          <w:color w:val="444444"/>
          <w:sz w:val="20"/>
          <w:szCs w:val="20"/>
        </w:rPr>
        <w:t xml:space="preserve"> </w:t>
      </w:r>
      <w:r w:rsidRPr="00396EFB">
        <w:rPr>
          <w:rFonts w:ascii="Arial" w:eastAsia="Calibri" w:hAnsi="Arial" w:cs="Arial"/>
          <w:sz w:val="20"/>
          <w:szCs w:val="20"/>
        </w:rPr>
        <w:t xml:space="preserve">bizottsági rendelet (továbbiakban: általános csoportmentességi rendelet) határozza meg, hogy a támogatások mely fajtáit tartja a közös piaccal összeegyeztethetőnek, melyek nem torzítják a piaci versenyt. Az e rendeletben felsorolt szabályoknak megfelelő – és a Bizottság által jóváhagyott – támogatásokat nem kell „de </w:t>
      </w:r>
      <w:proofErr w:type="spellStart"/>
      <w:r w:rsidRPr="00396EFB">
        <w:rPr>
          <w:rFonts w:ascii="Arial" w:eastAsia="Calibri" w:hAnsi="Arial" w:cs="Arial"/>
          <w:sz w:val="20"/>
          <w:szCs w:val="20"/>
        </w:rPr>
        <w:t>minimis</w:t>
      </w:r>
      <w:proofErr w:type="spellEnd"/>
      <w:r w:rsidRPr="00396EFB">
        <w:rPr>
          <w:rFonts w:ascii="Arial" w:eastAsia="Calibri" w:hAnsi="Arial" w:cs="Arial"/>
          <w:sz w:val="20"/>
          <w:szCs w:val="20"/>
        </w:rPr>
        <w:t>” támogatásként értelmezni.</w:t>
      </w:r>
    </w:p>
    <w:p w14:paraId="642E082B" w14:textId="77777777" w:rsidR="00396EFB" w:rsidRPr="00396EFB" w:rsidRDefault="00396EFB" w:rsidP="00396EF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20DAF1" w14:textId="0099B024" w:rsidR="00675DD0" w:rsidRPr="00675DD0" w:rsidRDefault="00396EFB" w:rsidP="00F454F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96EFB">
        <w:rPr>
          <w:rFonts w:ascii="Arial" w:eastAsia="Calibri" w:hAnsi="Arial" w:cs="Arial"/>
          <w:sz w:val="20"/>
          <w:szCs w:val="20"/>
        </w:rPr>
        <w:t>A</w:t>
      </w:r>
      <w:r w:rsidR="00F454FE">
        <w:rPr>
          <w:rFonts w:ascii="Arial" w:eastAsia="Calibri" w:hAnsi="Arial" w:cs="Arial"/>
          <w:sz w:val="20"/>
          <w:szCs w:val="20"/>
        </w:rPr>
        <w:t xml:space="preserve"> </w:t>
      </w:r>
      <w:r w:rsidR="00F1705F" w:rsidRPr="00411329">
        <w:rPr>
          <w:rFonts w:ascii="Arial" w:eastAsia="Calibri" w:hAnsi="Arial" w:cs="Arial"/>
          <w:b/>
          <w:bCs/>
          <w:sz w:val="20"/>
          <w:szCs w:val="20"/>
        </w:rPr>
        <w:t>TOP_PLUSZ-3.1.1-21-</w:t>
      </w:r>
      <w:r w:rsidR="00FE576D" w:rsidRPr="009320C7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Megyei foglalkoztatási-gazdaságfejlesztési együttműködések</w:t>
      </w:r>
      <w:r w:rsidR="009320C7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320C7" w:rsidRPr="007E16DA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TOP_PLUSZ-3.1.1-21-NG1-2022-00001 „Nógrád vármegyei foglalkoztatási paktum Plusz” </w:t>
      </w:r>
      <w:r w:rsidRPr="007E16DA">
        <w:rPr>
          <w:rFonts w:ascii="Arial" w:eastAsia="Calibri" w:hAnsi="Arial" w:cs="Arial"/>
          <w:color w:val="000000" w:themeColor="text1"/>
          <w:sz w:val="20"/>
          <w:szCs w:val="20"/>
        </w:rPr>
        <w:t xml:space="preserve">elnevezésű </w:t>
      </w:r>
      <w:r w:rsidRPr="005D3C61">
        <w:rPr>
          <w:rFonts w:ascii="Arial" w:eastAsia="Calibri" w:hAnsi="Arial" w:cs="Arial"/>
          <w:color w:val="000000" w:themeColor="text1"/>
          <w:sz w:val="20"/>
          <w:szCs w:val="20"/>
        </w:rPr>
        <w:t xml:space="preserve">munkaerőpiaci programban nyújtott bértámogatás megfelel a csoportmentesség szabályainak, így bértámogatás </w:t>
      </w:r>
      <w:r w:rsidR="00675DD0" w:rsidRPr="005D3C61">
        <w:rPr>
          <w:rFonts w:ascii="Arial" w:hAnsi="Arial" w:cs="Arial"/>
          <w:color w:val="000000" w:themeColor="text1"/>
          <w:sz w:val="20"/>
          <w:szCs w:val="20"/>
        </w:rPr>
        <w:t xml:space="preserve">a kizárt ágazatok, tevékenységek, </w:t>
      </w:r>
      <w:r w:rsidR="006643B4" w:rsidRPr="00F454FE">
        <w:rPr>
          <w:rFonts w:ascii="Arial" w:hAnsi="Arial" w:cs="Arial"/>
          <w:color w:val="000000" w:themeColor="text1"/>
          <w:sz w:val="20"/>
          <w:szCs w:val="20"/>
        </w:rPr>
        <w:t>munkáltató</w:t>
      </w:r>
      <w:r w:rsidR="00675DD0" w:rsidRPr="00F454FE">
        <w:rPr>
          <w:rFonts w:ascii="Arial" w:hAnsi="Arial" w:cs="Arial"/>
          <w:color w:val="000000" w:themeColor="text1"/>
          <w:sz w:val="20"/>
          <w:szCs w:val="20"/>
        </w:rPr>
        <w:t xml:space="preserve">k </w:t>
      </w:r>
      <w:r w:rsidR="00675DD0" w:rsidRPr="005D3C61">
        <w:rPr>
          <w:rFonts w:ascii="Arial" w:hAnsi="Arial" w:cs="Arial"/>
          <w:color w:val="000000" w:themeColor="text1"/>
          <w:sz w:val="20"/>
          <w:szCs w:val="20"/>
        </w:rPr>
        <w:t xml:space="preserve">kivételével – a csoportmentesség szabályai alapján nyújtható abban az esetben, amennyiben a foglalkoztatni kívánt munkavállaló </w:t>
      </w:r>
      <w:r w:rsidR="00675DD0" w:rsidRPr="005D3C61">
        <w:rPr>
          <w:rFonts w:ascii="Arial" w:hAnsi="Arial" w:cs="Arial"/>
          <w:b/>
          <w:color w:val="000000" w:themeColor="text1"/>
          <w:sz w:val="20"/>
          <w:szCs w:val="20"/>
        </w:rPr>
        <w:t>hátrányos helyzetűnek</w:t>
      </w:r>
      <w:r w:rsidR="00675DD0" w:rsidRPr="005D3C61">
        <w:rPr>
          <w:rFonts w:ascii="Arial" w:hAnsi="Arial" w:cs="Arial"/>
          <w:color w:val="000000" w:themeColor="text1"/>
          <w:sz w:val="20"/>
          <w:szCs w:val="20"/>
        </w:rPr>
        <w:t xml:space="preserve"> minősül. </w:t>
      </w:r>
    </w:p>
    <w:p w14:paraId="6E9C316B" w14:textId="77777777" w:rsidR="00675DD0" w:rsidRDefault="00675DD0" w:rsidP="009B372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4FC3C87" w14:textId="59F51AAE" w:rsidR="00396EFB" w:rsidRPr="007E16DA" w:rsidRDefault="00396EFB" w:rsidP="00F97FB0">
      <w:pPr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7E16DA">
        <w:rPr>
          <w:rFonts w:ascii="Arial" w:eastAsia="Calibri" w:hAnsi="Arial" w:cs="Arial"/>
          <w:color w:val="000000" w:themeColor="text1"/>
          <w:sz w:val="20"/>
          <w:szCs w:val="20"/>
        </w:rPr>
        <w:t>A program</w:t>
      </w:r>
      <w:r w:rsidR="00FE576D" w:rsidRPr="007E16DA">
        <w:rPr>
          <w:rFonts w:ascii="Arial" w:eastAsia="Calibri" w:hAnsi="Arial" w:cs="Arial"/>
          <w:color w:val="000000" w:themeColor="text1"/>
          <w:sz w:val="20"/>
          <w:szCs w:val="20"/>
        </w:rPr>
        <w:t>ba</w:t>
      </w:r>
      <w:r w:rsidRPr="007E16DA">
        <w:rPr>
          <w:rFonts w:ascii="Arial" w:eastAsia="Calibri" w:hAnsi="Arial" w:cs="Arial"/>
          <w:color w:val="000000" w:themeColor="text1"/>
          <w:sz w:val="20"/>
          <w:szCs w:val="20"/>
        </w:rPr>
        <w:t xml:space="preserve"> bevont álláskeresőnek a</w:t>
      </w:r>
      <w:r w:rsidR="00DF222A" w:rsidRPr="007E16DA">
        <w:rPr>
          <w:rFonts w:ascii="Arial" w:eastAsia="Calibri" w:hAnsi="Arial" w:cs="Arial"/>
          <w:color w:val="000000" w:themeColor="text1"/>
          <w:sz w:val="20"/>
          <w:szCs w:val="20"/>
        </w:rPr>
        <w:t xml:space="preserve"> Hirdetményben és </w:t>
      </w:r>
      <w:r w:rsidR="009244AD" w:rsidRPr="005D3C61">
        <w:rPr>
          <w:rFonts w:ascii="Arial" w:hAnsi="Arial" w:cs="Arial"/>
          <w:color w:val="000000" w:themeColor="text1"/>
          <w:sz w:val="20"/>
          <w:szCs w:val="20"/>
        </w:rPr>
        <w:t>a Tájékoztatóban</w:t>
      </w:r>
      <w:r w:rsidR="005D0204" w:rsidRPr="005D3C61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7E16DA">
        <w:rPr>
          <w:rFonts w:ascii="Arial" w:eastAsia="Calibri" w:hAnsi="Arial" w:cs="Arial"/>
          <w:color w:val="000000" w:themeColor="text1"/>
          <w:sz w:val="20"/>
          <w:szCs w:val="20"/>
        </w:rPr>
        <w:t>megjelölt egyéb feltételek</w:t>
      </w:r>
      <w:r w:rsidR="00DF222A" w:rsidRPr="007E16DA">
        <w:rPr>
          <w:rFonts w:ascii="Arial" w:eastAsia="Calibri" w:hAnsi="Arial" w:cs="Arial"/>
          <w:color w:val="000000" w:themeColor="text1"/>
          <w:sz w:val="20"/>
          <w:szCs w:val="20"/>
        </w:rPr>
        <w:t>nek -</w:t>
      </w:r>
      <w:r w:rsidR="009466A7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DF222A" w:rsidRPr="007E16DA">
        <w:rPr>
          <w:rFonts w:ascii="Arial" w:eastAsia="Calibri" w:hAnsi="Arial" w:cs="Arial"/>
          <w:color w:val="000000" w:themeColor="text1"/>
          <w:sz w:val="20"/>
          <w:szCs w:val="20"/>
        </w:rPr>
        <w:t>m</w:t>
      </w:r>
      <w:r w:rsidR="005C541E">
        <w:rPr>
          <w:rFonts w:ascii="Arial" w:eastAsia="Calibri" w:hAnsi="Arial" w:cs="Arial"/>
          <w:color w:val="000000" w:themeColor="text1"/>
          <w:sz w:val="20"/>
          <w:szCs w:val="20"/>
        </w:rPr>
        <w:t xml:space="preserve">ind célcsoporti besorolás, mint </w:t>
      </w:r>
      <w:r w:rsidR="00DF222A" w:rsidRPr="007E16DA">
        <w:rPr>
          <w:rFonts w:ascii="Arial" w:eastAsia="Calibri" w:hAnsi="Arial" w:cs="Arial"/>
          <w:color w:val="000000" w:themeColor="text1"/>
          <w:sz w:val="20"/>
          <w:szCs w:val="20"/>
        </w:rPr>
        <w:t xml:space="preserve">a bértámogatás szempontjából </w:t>
      </w:r>
      <w:r w:rsidRPr="007E16DA">
        <w:rPr>
          <w:rFonts w:ascii="Arial" w:eastAsia="Calibri" w:hAnsi="Arial" w:cs="Arial"/>
          <w:color w:val="000000" w:themeColor="text1"/>
          <w:sz w:val="20"/>
          <w:szCs w:val="20"/>
        </w:rPr>
        <w:t>hátrányos helyzetű</w:t>
      </w:r>
      <w:r w:rsidR="00624825" w:rsidRPr="00624825">
        <w:rPr>
          <w:rFonts w:ascii="Arial" w:hAnsi="Arial" w:cs="Arial"/>
          <w:color w:val="FF0000"/>
          <w:sz w:val="20"/>
          <w:szCs w:val="20"/>
        </w:rPr>
        <w:t xml:space="preserve"> </w:t>
      </w:r>
      <w:r w:rsidR="009466A7">
        <w:rPr>
          <w:rFonts w:ascii="Arial" w:eastAsia="Calibri" w:hAnsi="Arial" w:cs="Arial"/>
          <w:color w:val="000000" w:themeColor="text1"/>
          <w:sz w:val="20"/>
          <w:szCs w:val="20"/>
        </w:rPr>
        <w:t xml:space="preserve">- </w:t>
      </w:r>
      <w:r w:rsidR="00DF222A" w:rsidRPr="007E16DA">
        <w:rPr>
          <w:rFonts w:ascii="Arial" w:eastAsia="Calibri" w:hAnsi="Arial" w:cs="Arial"/>
          <w:color w:val="000000" w:themeColor="text1"/>
          <w:sz w:val="20"/>
          <w:szCs w:val="20"/>
        </w:rPr>
        <w:t xml:space="preserve">is </w:t>
      </w:r>
      <w:r w:rsidRPr="007E16DA">
        <w:rPr>
          <w:rFonts w:ascii="Arial" w:eastAsia="Calibri" w:hAnsi="Arial" w:cs="Arial"/>
          <w:color w:val="000000" w:themeColor="text1"/>
          <w:sz w:val="20"/>
          <w:szCs w:val="20"/>
        </w:rPr>
        <w:t>meg kell felelnie ahhoz, hogy e támogatás az ő esetében nyújtható legyen.)</w:t>
      </w:r>
    </w:p>
    <w:p w14:paraId="6BAAD7E3" w14:textId="33F2F869" w:rsidR="00396EFB" w:rsidRPr="007E16DA" w:rsidRDefault="000A1A2C" w:rsidP="00396EFB">
      <w:pPr>
        <w:autoSpaceDE w:val="0"/>
        <w:autoSpaceDN w:val="0"/>
        <w:spacing w:after="0" w:line="240" w:lineRule="auto"/>
        <w:ind w:left="126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</w:rPr>
        <w:t>A TOP_PLUSZ</w:t>
      </w:r>
      <w:r w:rsidR="00396EFB" w:rsidRPr="007E16DA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programban </w:t>
      </w:r>
      <w:r w:rsidR="00396EFB" w:rsidRPr="007E16DA">
        <w:rPr>
          <w:b/>
          <w:color w:val="000000" w:themeColor="text1"/>
        </w:rPr>
        <w:t>Nógrád</w:t>
      </w:r>
      <w:r w:rsidR="00396EFB" w:rsidRPr="007E16DA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vármegye célcsoportjai:</w:t>
      </w:r>
    </w:p>
    <w:p w14:paraId="14291F4C" w14:textId="09C744FB" w:rsidR="00396EFB" w:rsidRPr="005C541E" w:rsidRDefault="00396EFB" w:rsidP="00396EFB">
      <w:pPr>
        <w:pStyle w:val="Listaszerbekezds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5C541E">
        <w:rPr>
          <w:rFonts w:ascii="Arial" w:hAnsi="Arial" w:cs="Arial"/>
          <w:color w:val="000000" w:themeColor="text1"/>
          <w:sz w:val="20"/>
          <w:szCs w:val="20"/>
        </w:rPr>
        <w:t xml:space="preserve">Szakképzettséggel nem rendelkező nem alacsony iskolai végzettségű álláskeresők  </w:t>
      </w:r>
    </w:p>
    <w:p w14:paraId="08A25598" w14:textId="77777777" w:rsidR="00396EFB" w:rsidRPr="005C541E" w:rsidRDefault="00396EFB" w:rsidP="00396EFB">
      <w:pPr>
        <w:pStyle w:val="Listaszerbekezds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5C541E">
        <w:rPr>
          <w:rFonts w:ascii="Arial" w:hAnsi="Arial" w:cs="Arial"/>
          <w:color w:val="000000" w:themeColor="text1"/>
          <w:sz w:val="20"/>
          <w:szCs w:val="20"/>
        </w:rPr>
        <w:t xml:space="preserve">Tartósan, legalább 6 hónapja regisztrált álláskeresők </w:t>
      </w:r>
    </w:p>
    <w:p w14:paraId="56BA576C" w14:textId="77777777" w:rsidR="00396EFB" w:rsidRPr="005C541E" w:rsidRDefault="00396EFB" w:rsidP="00396EFB">
      <w:pPr>
        <w:pStyle w:val="Listaszerbekezds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5C541E">
        <w:rPr>
          <w:rFonts w:ascii="Arial" w:hAnsi="Arial" w:cs="Arial"/>
          <w:color w:val="000000" w:themeColor="text1"/>
          <w:sz w:val="20"/>
          <w:szCs w:val="20"/>
        </w:rPr>
        <w:t xml:space="preserve">Inaktívak  </w:t>
      </w:r>
    </w:p>
    <w:p w14:paraId="45B8B4B5" w14:textId="72DF0969" w:rsidR="00396EFB" w:rsidRDefault="00396EFB" w:rsidP="00396EFB">
      <w:pPr>
        <w:pStyle w:val="Listaszerbekezds"/>
        <w:numPr>
          <w:ilvl w:val="0"/>
          <w:numId w:val="7"/>
        </w:numPr>
        <w:spacing w:before="0" w:beforeAutospacing="0" w:after="0" w:afterAutospacing="0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C541E">
        <w:rPr>
          <w:rFonts w:ascii="Arial" w:hAnsi="Arial" w:cs="Arial"/>
          <w:color w:val="000000" w:themeColor="text1"/>
          <w:sz w:val="20"/>
          <w:szCs w:val="20"/>
        </w:rPr>
        <w:t>Közfoglalkoztatásból három hónapon belül kilépők</w:t>
      </w:r>
      <w:r w:rsidRPr="005C541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71790803" w14:textId="1DD65A76" w:rsidR="0050606D" w:rsidRPr="006B3C6E" w:rsidRDefault="0050606D" w:rsidP="00396EFB">
      <w:pPr>
        <w:pStyle w:val="Listaszerbekezds"/>
        <w:numPr>
          <w:ilvl w:val="0"/>
          <w:numId w:val="7"/>
        </w:numPr>
        <w:spacing w:before="0" w:beforeAutospacing="0" w:after="0" w:afterAutospacing="0"/>
        <w:rPr>
          <w:rFonts w:ascii="Arial" w:eastAsia="Calibri" w:hAnsi="Arial" w:cs="Arial"/>
          <w:sz w:val="20"/>
          <w:szCs w:val="20"/>
        </w:rPr>
      </w:pPr>
      <w:r w:rsidRPr="006B3C6E">
        <w:rPr>
          <w:rFonts w:ascii="Arial" w:eastAsia="Calibri" w:hAnsi="Arial" w:cs="Arial"/>
          <w:sz w:val="20"/>
          <w:szCs w:val="20"/>
        </w:rPr>
        <w:t>50 év feletti álláskeresők</w:t>
      </w:r>
    </w:p>
    <w:p w14:paraId="3EC2388A" w14:textId="56B213F5" w:rsidR="00F97FB0" w:rsidRDefault="000A1A2C" w:rsidP="00C27AA5">
      <w:pPr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5D3C61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A programban résztvevő az általános csoportmentességi rendelet 2. cikk 4. pontja szerint hátrányos helyzetű személynek tekinthető, amennyiben küzd az alábbi hátrányok legalább egyikével (e feltételnek a </w:t>
      </w:r>
      <w:proofErr w:type="gramStart"/>
      <w:r w:rsidR="006643B4" w:rsidRPr="00F454FE">
        <w:rPr>
          <w:rFonts w:ascii="Arial" w:hAnsi="Arial" w:cs="Arial"/>
          <w:b/>
          <w:color w:val="000000" w:themeColor="text1"/>
          <w:sz w:val="20"/>
          <w:szCs w:val="20"/>
        </w:rPr>
        <w:t>munkaáltató</w:t>
      </w:r>
      <w:r w:rsidR="006643B4" w:rsidRPr="0034441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D3C61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bértámogatás</w:t>
      </w:r>
      <w:proofErr w:type="gramEnd"/>
      <w:r w:rsidRPr="005D3C61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iránti kérelmezésekor kell fennállnia):</w:t>
      </w:r>
    </w:p>
    <w:p w14:paraId="3ED59B6D" w14:textId="77777777" w:rsidR="005D3C61" w:rsidRPr="005D3C61" w:rsidRDefault="005D3C61" w:rsidP="00F97F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4F2C3A85" w14:textId="77777777" w:rsidR="00396EFB" w:rsidRPr="00396EFB" w:rsidRDefault="00396EFB" w:rsidP="00396E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u-HU"/>
        </w:rPr>
      </w:pPr>
      <w:r w:rsidRPr="00396EFB">
        <w:rPr>
          <w:rFonts w:ascii="Arial" w:eastAsia="Calibri" w:hAnsi="Arial" w:cs="Arial"/>
          <w:sz w:val="20"/>
          <w:szCs w:val="20"/>
          <w:lang w:eastAsia="hu-HU"/>
        </w:rPr>
        <w:t xml:space="preserve">az előző 6 hónapban nem állt rendszeres, fizetett alkalmazásban, </w:t>
      </w:r>
    </w:p>
    <w:p w14:paraId="6ECDD4FC" w14:textId="77777777" w:rsidR="00396EFB" w:rsidRPr="00396EFB" w:rsidRDefault="00396EFB" w:rsidP="00396E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u-HU"/>
        </w:rPr>
      </w:pPr>
      <w:r w:rsidRPr="00396EFB">
        <w:rPr>
          <w:rFonts w:ascii="Arial" w:eastAsia="Calibri" w:hAnsi="Arial" w:cs="Arial"/>
          <w:sz w:val="20"/>
          <w:szCs w:val="20"/>
          <w:lang w:eastAsia="hu-HU"/>
        </w:rPr>
        <w:t xml:space="preserve">nem szerzett középfokú végzettséget vagy szakmai képesítést (az oktatás egységes nemzetközi osztályozási rendszerének 3. szintje), vagy a nappali tagozatos tanulmányait legfeljebb két éve fejezte be, és még nem állt rendszeres, fizetett alkalmazásban), </w:t>
      </w:r>
    </w:p>
    <w:p w14:paraId="6970AB20" w14:textId="77777777" w:rsidR="00396EFB" w:rsidRPr="00396EFB" w:rsidRDefault="00396EFB" w:rsidP="00396E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u-HU"/>
        </w:rPr>
      </w:pPr>
      <w:r w:rsidRPr="00396EFB">
        <w:rPr>
          <w:rFonts w:ascii="Arial" w:eastAsia="Calibri" w:hAnsi="Arial" w:cs="Arial"/>
          <w:sz w:val="20"/>
          <w:szCs w:val="20"/>
          <w:lang w:eastAsia="hu-HU"/>
        </w:rPr>
        <w:t xml:space="preserve">az 50 éven felüli életkorú személyek, </w:t>
      </w:r>
    </w:p>
    <w:p w14:paraId="2261D3E7" w14:textId="0B1FEAB6" w:rsidR="00396EFB" w:rsidRDefault="00396EFB" w:rsidP="00396E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u-HU"/>
        </w:rPr>
      </w:pPr>
      <w:r w:rsidRPr="00396EFB">
        <w:rPr>
          <w:rFonts w:ascii="Arial" w:eastAsia="Calibri" w:hAnsi="Arial" w:cs="Arial"/>
          <w:sz w:val="20"/>
          <w:szCs w:val="20"/>
          <w:lang w:eastAsia="hu-HU"/>
        </w:rPr>
        <w:t>az egy vagy több eltartottal egyedül élő felnőttek</w:t>
      </w:r>
    </w:p>
    <w:p w14:paraId="0197451C" w14:textId="77777777" w:rsidR="000A1A2C" w:rsidRPr="005D3C61" w:rsidRDefault="000A1A2C" w:rsidP="000A1A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</w:pPr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>egy tagállam etnikai kisebbségéhez tartozik, és akinek szakmai, nyelvi képzésre vagy szakmai tapasztalatszerzésre van szüksége ahhoz, hogy javuljon a tartós foglalkoztatásra való esélye. (A nemzetiségek jogairól szó</w:t>
      </w:r>
      <w:bookmarkStart w:id="1" w:name="_GoBack"/>
      <w:bookmarkEnd w:id="1"/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>ló 2011. évi CLXXIX. törvény 1.§ alapján meghatározott nemzetiségek Magyarországon: a bolgár, a görög, a horvát, a lengyel, a német, az örmény, a roma, a román, a ruszin, a szerb, a szlovák, a szlovén és az ukrán.)</w:t>
      </w:r>
    </w:p>
    <w:p w14:paraId="627BF812" w14:textId="2E75EE08" w:rsidR="000A1A2C" w:rsidRPr="005D3C61" w:rsidRDefault="000A1A2C" w:rsidP="00F6233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</w:pPr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>valamely tagállamban olyan ágazatban vagy szakmában dolgozik, amelyben a két nem megoszlásában mutatkozó különbség legalább 25 %-</w:t>
      </w:r>
      <w:proofErr w:type="spellStart"/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>kal</w:t>
      </w:r>
      <w:proofErr w:type="spellEnd"/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 xml:space="preserve"> meghaladja a tagállam valamennyi gazdasági ágazatára összességében jellemző átlagos különbséget, és aki az </w:t>
      </w:r>
      <w:proofErr w:type="spellStart"/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>alul</w:t>
      </w:r>
      <w:proofErr w:type="gramStart"/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>reprezentált</w:t>
      </w:r>
      <w:proofErr w:type="spellEnd"/>
      <w:proofErr w:type="gramEnd"/>
      <w:r w:rsidRPr="005D3C61">
        <w:rPr>
          <w:rFonts w:ascii="Arial" w:eastAsia="Calibri" w:hAnsi="Arial" w:cs="Arial"/>
          <w:color w:val="000000" w:themeColor="text1"/>
          <w:sz w:val="20"/>
          <w:szCs w:val="20"/>
          <w:lang w:eastAsia="hu-HU"/>
        </w:rPr>
        <w:t xml:space="preserve"> nemhez tartozik</w:t>
      </w:r>
    </w:p>
    <w:p w14:paraId="1E0B0043" w14:textId="4C69EDC5" w:rsidR="00396EFB" w:rsidRDefault="00396EFB" w:rsidP="00396EF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4F5720" w14:textId="0BA9D874" w:rsidR="006643B4" w:rsidRPr="006E6C9D" w:rsidRDefault="006643B4" w:rsidP="006643B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6C9D">
        <w:rPr>
          <w:rFonts w:ascii="Arial" w:hAnsi="Arial" w:cs="Arial"/>
          <w:color w:val="000000" w:themeColor="text1"/>
          <w:sz w:val="20"/>
          <w:szCs w:val="20"/>
        </w:rPr>
        <w:t>Amennyiben a foglalkoztatni kívánt álláskereső nem tekinthető a program szempontjából hátrányos helyzetűnek</w:t>
      </w:r>
      <w:r w:rsidR="006E6C9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E6C9D">
        <w:rPr>
          <w:rFonts w:ascii="Arial" w:hAnsi="Arial" w:cs="Arial"/>
          <w:color w:val="000000" w:themeColor="text1"/>
          <w:sz w:val="20"/>
          <w:szCs w:val="20"/>
        </w:rPr>
        <w:t xml:space="preserve">és/vagy az általános csoportmentességi rendelet által kizárt az ágazat/tevékenység/munkáltató, akkor a munkáltató a munkaerőpiaci programban </w:t>
      </w:r>
      <w:r w:rsidRPr="006E6C9D">
        <w:rPr>
          <w:rFonts w:ascii="Arial" w:hAnsi="Arial" w:cs="Arial"/>
          <w:i/>
          <w:color w:val="000000" w:themeColor="text1"/>
          <w:sz w:val="20"/>
          <w:szCs w:val="20"/>
        </w:rPr>
        <w:t xml:space="preserve">csak de </w:t>
      </w:r>
      <w:proofErr w:type="spellStart"/>
      <w:r w:rsidRPr="006E6C9D">
        <w:rPr>
          <w:rFonts w:ascii="Arial" w:hAnsi="Arial" w:cs="Arial"/>
          <w:i/>
          <w:color w:val="000000" w:themeColor="text1"/>
          <w:sz w:val="20"/>
          <w:szCs w:val="20"/>
        </w:rPr>
        <w:t>minimis</w:t>
      </w:r>
      <w:proofErr w:type="spellEnd"/>
      <w:r w:rsidRPr="006E6C9D">
        <w:rPr>
          <w:rFonts w:ascii="Arial" w:hAnsi="Arial" w:cs="Arial"/>
          <w:i/>
          <w:color w:val="000000" w:themeColor="text1"/>
          <w:sz w:val="20"/>
          <w:szCs w:val="20"/>
        </w:rPr>
        <w:t xml:space="preserve"> támogatást</w:t>
      </w:r>
      <w:r w:rsidRPr="006E6C9D">
        <w:rPr>
          <w:rFonts w:ascii="Arial" w:hAnsi="Arial" w:cs="Arial"/>
          <w:color w:val="000000" w:themeColor="text1"/>
          <w:sz w:val="20"/>
          <w:szCs w:val="20"/>
        </w:rPr>
        <w:t xml:space="preserve"> kaphat abban az esetben, amennyiben a de </w:t>
      </w:r>
      <w:proofErr w:type="spellStart"/>
      <w:r w:rsidRPr="006E6C9D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6E6C9D">
        <w:rPr>
          <w:rFonts w:ascii="Arial" w:hAnsi="Arial" w:cs="Arial"/>
          <w:color w:val="000000" w:themeColor="text1"/>
          <w:sz w:val="20"/>
          <w:szCs w:val="20"/>
        </w:rPr>
        <w:t xml:space="preserve"> támogatás feltételeinek, mint munkáltató, megfelel.</w:t>
      </w:r>
    </w:p>
    <w:p w14:paraId="65124622" w14:textId="77777777" w:rsidR="007E16DA" w:rsidRPr="006E6C9D" w:rsidRDefault="007E16DA" w:rsidP="00396EF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EA4397A" w14:textId="77777777" w:rsidR="00843BDE" w:rsidRPr="007E16DA" w:rsidRDefault="00843BDE" w:rsidP="00843BD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E16DA">
        <w:rPr>
          <w:rFonts w:ascii="Arial" w:hAnsi="Arial" w:cs="Arial"/>
          <w:b/>
          <w:color w:val="000000" w:themeColor="text1"/>
          <w:sz w:val="20"/>
          <w:szCs w:val="20"/>
        </w:rPr>
        <w:t>A támogatás igénybevételének egyéb feltételei</w:t>
      </w:r>
    </w:p>
    <w:p w14:paraId="0D3DE6AC" w14:textId="77777777" w:rsidR="00843BDE" w:rsidRPr="007E16DA" w:rsidRDefault="00843BDE" w:rsidP="00843BDE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C716CC" w14:textId="076EA442" w:rsidR="00843BDE" w:rsidRPr="005D3C61" w:rsidRDefault="00843BDE" w:rsidP="00843BDE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16DA">
        <w:rPr>
          <w:rFonts w:ascii="Arial" w:hAnsi="Arial" w:cs="Arial"/>
          <w:color w:val="000000" w:themeColor="text1"/>
          <w:sz w:val="20"/>
          <w:szCs w:val="20"/>
        </w:rPr>
        <w:t xml:space="preserve">Az általános csoportmentességi rendelet I. fejezet 4. cikkének (1) bekezdés </w:t>
      </w:r>
      <w:r w:rsidR="006E6C9D">
        <w:rPr>
          <w:rFonts w:ascii="Arial" w:hAnsi="Arial" w:cs="Arial"/>
          <w:color w:val="000000" w:themeColor="text1"/>
          <w:sz w:val="20"/>
          <w:szCs w:val="20"/>
        </w:rPr>
        <w:t>o)</w:t>
      </w:r>
      <w:r w:rsidRPr="00FC3A78">
        <w:rPr>
          <w:rFonts w:ascii="Arial" w:hAnsi="Arial" w:cs="Arial"/>
          <w:color w:val="000000" w:themeColor="text1"/>
          <w:sz w:val="20"/>
          <w:szCs w:val="20"/>
        </w:rPr>
        <w:t xml:space="preserve"> pontja</w:t>
      </w:r>
      <w:r w:rsidRPr="00FC3A78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  <w:r w:rsidRPr="007E16DA">
        <w:rPr>
          <w:rFonts w:ascii="Arial" w:hAnsi="Arial" w:cs="Arial"/>
          <w:color w:val="000000" w:themeColor="text1"/>
          <w:sz w:val="20"/>
          <w:szCs w:val="20"/>
        </w:rPr>
        <w:t xml:space="preserve">alapján az adott pénzügyi évben hátrányos helyzetű személy elhelyezkedésére tekintettel </w:t>
      </w:r>
      <w:r w:rsidR="006C2B4A" w:rsidRPr="005D3C61">
        <w:rPr>
          <w:rFonts w:ascii="Arial" w:hAnsi="Arial" w:cs="Arial"/>
          <w:color w:val="000000" w:themeColor="text1"/>
          <w:sz w:val="20"/>
          <w:szCs w:val="20"/>
        </w:rPr>
        <w:t xml:space="preserve">az általános csoportmentességi rendelet 32. cikke alapján nyújtott összes állami támogatás támogatástartalma jelen támogatással együtt nem haladhatja meg vállalkozásonként az évi 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>5</w:t>
      </w:r>
      <w:r w:rsidR="000342E7" w:rsidRPr="005D3C61">
        <w:rPr>
          <w:rFonts w:ascii="Arial" w:hAnsi="Arial" w:cs="Arial"/>
          <w:color w:val="000000" w:themeColor="text1"/>
          <w:sz w:val="20"/>
          <w:szCs w:val="20"/>
        </w:rPr>
        <w:t>,5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millió euró értéknek megfelelő </w:t>
      </w:r>
      <w:r w:rsidR="00895822" w:rsidRPr="005D3C61">
        <w:rPr>
          <w:rFonts w:ascii="Arial" w:hAnsi="Arial" w:cs="Arial"/>
          <w:color w:val="000000" w:themeColor="text1"/>
          <w:sz w:val="20"/>
          <w:szCs w:val="20"/>
        </w:rPr>
        <w:t>forint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összeget. </w:t>
      </w:r>
    </w:p>
    <w:p w14:paraId="62C2606E" w14:textId="07D7C492" w:rsidR="00843BDE" w:rsidRPr="005D3C61" w:rsidRDefault="00843BDE" w:rsidP="00843BDE">
      <w:pPr>
        <w:pStyle w:val="NormlWeb"/>
        <w:spacing w:before="60" w:beforeAutospacing="0" w:after="0" w:afterAutospacing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668C0B" w14:textId="77777777" w:rsidR="00DD0866" w:rsidRPr="005D3C61" w:rsidRDefault="00DD0866" w:rsidP="00DD0866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4B29">
        <w:rPr>
          <w:rFonts w:ascii="Arial" w:hAnsi="Arial" w:cs="Arial"/>
          <w:i/>
          <w:color w:val="000000" w:themeColor="text1"/>
          <w:sz w:val="20"/>
          <w:szCs w:val="20"/>
        </w:rPr>
        <w:t>Elszámolható költségek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D175E62" w14:textId="77777777" w:rsidR="00DD0866" w:rsidRPr="005D3C61" w:rsidRDefault="00DD0866" w:rsidP="00DD0866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5D3C61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>)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ab/>
        <w:t>Az általános csoportmentességi rendelet 32. cikke szerinti támogatás esetén:</w:t>
      </w:r>
    </w:p>
    <w:p w14:paraId="648CAE04" w14:textId="2B1EC896" w:rsidR="00DD0866" w:rsidRPr="005D3C61" w:rsidRDefault="00DD0866" w:rsidP="00DD0866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C61">
        <w:rPr>
          <w:rFonts w:ascii="Arial" w:hAnsi="Arial" w:cs="Arial"/>
          <w:color w:val="000000" w:themeColor="text1"/>
          <w:sz w:val="20"/>
          <w:szCs w:val="20"/>
        </w:rPr>
        <w:t>A támogatás keretében a hátrányos helyzetű munkavállaló felvételét követő legfeljebb 12 hónap bérköltsége, súlyosan hátrányos helyzetű munkavállaló esetén a felvételt követő legfeljebb 24 hónap bérköltsége számolható el. Ha a foglalkoztatási időszak 12 hónapnál rövidebb, a támogatást időarányosan csökkenteni kell.</w:t>
      </w:r>
    </w:p>
    <w:p w14:paraId="46B32129" w14:textId="77777777" w:rsidR="00E24B29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4B29">
        <w:rPr>
          <w:rFonts w:ascii="Arial" w:hAnsi="Arial" w:cs="Arial"/>
          <w:i/>
          <w:color w:val="000000" w:themeColor="text1"/>
          <w:sz w:val="20"/>
          <w:szCs w:val="20"/>
        </w:rPr>
        <w:t xml:space="preserve">Támogatási </w:t>
      </w:r>
      <w:proofErr w:type="gramStart"/>
      <w:r w:rsidRPr="00E24B29">
        <w:rPr>
          <w:rFonts w:ascii="Arial" w:hAnsi="Arial" w:cs="Arial"/>
          <w:i/>
          <w:color w:val="000000" w:themeColor="text1"/>
          <w:sz w:val="20"/>
          <w:szCs w:val="20"/>
        </w:rPr>
        <w:t>intenzitás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A6ACED7" w14:textId="49651A6A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C61">
        <w:rPr>
          <w:rFonts w:ascii="Arial" w:hAnsi="Arial" w:cs="Arial"/>
          <w:color w:val="000000" w:themeColor="text1"/>
          <w:sz w:val="20"/>
          <w:szCs w:val="20"/>
        </w:rPr>
        <w:t>Az általános csoportmentességi rendelet 32. cikke szerinti támogatás esetén a támogatás maximális mértéke az elszámolható költségek 50%-</w:t>
      </w:r>
      <w:proofErr w:type="gramStart"/>
      <w:r w:rsidRPr="005D3C61">
        <w:rPr>
          <w:rFonts w:ascii="Arial" w:hAnsi="Arial" w:cs="Arial"/>
          <w:color w:val="000000" w:themeColor="text1"/>
          <w:sz w:val="20"/>
          <w:szCs w:val="20"/>
        </w:rPr>
        <w:t>a</w:t>
      </w:r>
      <w:r w:rsidR="005D3C61" w:rsidRPr="005D3C61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4C023D2" w14:textId="47BCCD86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A támogatási </w:t>
      </w:r>
      <w:proofErr w:type="gramStart"/>
      <w:r w:rsidRPr="005D3C61">
        <w:rPr>
          <w:rFonts w:ascii="Arial" w:hAnsi="Arial" w:cs="Arial"/>
          <w:color w:val="000000" w:themeColor="text1"/>
          <w:sz w:val="20"/>
          <w:szCs w:val="20"/>
        </w:rPr>
        <w:t>intenzitás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- a támogatás bruttó összege az elszámolható költségek százalékában kifejezve - kiszámítása során valamennyi felhasznált számadatot az adók és illetékek levonása előtti mértékben kell figyelembe venni. A több részletben kifizetett támogatást a támogatási dönté</w:t>
      </w:r>
      <w:r w:rsidR="001D44BA" w:rsidRPr="005D3C61">
        <w:rPr>
          <w:rFonts w:ascii="Arial" w:hAnsi="Arial" w:cs="Arial"/>
          <w:color w:val="000000" w:themeColor="text1"/>
          <w:sz w:val="20"/>
          <w:szCs w:val="20"/>
        </w:rPr>
        <w:t>s időpontja szerinti jelenérték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>re, elszámolható költségeket szintén a támogatásnyújtás időpontjában alkalmazandó értékre kell diszkontál-ni a diszkont kamatláb alkalmazásával.</w:t>
      </w:r>
    </w:p>
    <w:p w14:paraId="7A2AFCB0" w14:textId="5C588CFD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Azonos vagy részben azonos azonosítható elszámolható költségek esetén állami támogatás abban az esetben halmozható más, helyi, regionális, államháztartási vagy uniós forrásból származó állami támogatással, ha az nem vezet a csoportmentességi rendeletekben vagy az Európai </w:t>
      </w:r>
      <w:proofErr w:type="gramStart"/>
      <w:r w:rsidRPr="005D3C61">
        <w:rPr>
          <w:rFonts w:ascii="Arial" w:hAnsi="Arial" w:cs="Arial"/>
          <w:color w:val="000000" w:themeColor="text1"/>
          <w:sz w:val="20"/>
          <w:szCs w:val="20"/>
        </w:rPr>
        <w:t>Bizottság jóváhagyó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határozatában meghatározott legmagasabb támogatási intenzitás vagy támogatási összeg túllépéséhez.</w:t>
      </w:r>
    </w:p>
    <w:p w14:paraId="46DD2F96" w14:textId="209B6BD3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C61">
        <w:rPr>
          <w:rFonts w:ascii="Arial" w:hAnsi="Arial" w:cs="Arial"/>
          <w:color w:val="000000" w:themeColor="text1"/>
          <w:sz w:val="20"/>
          <w:szCs w:val="20"/>
        </w:rPr>
        <w:t>Állami támogatás különböző azonosítható elszámolható költségek esetén halmozható más, helyi, regionális, államháztartási vagy uniós forrásból származó állami támogatással.</w:t>
      </w:r>
    </w:p>
    <w:p w14:paraId="350C01D4" w14:textId="10D3CE4E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248B">
        <w:rPr>
          <w:rFonts w:ascii="Arial" w:hAnsi="Arial" w:cs="Arial"/>
          <w:color w:val="000000" w:themeColor="text1"/>
          <w:sz w:val="20"/>
          <w:szCs w:val="20"/>
        </w:rPr>
        <w:t xml:space="preserve">Az egy projekthez igénybe vett összes támogatás - függetlenül attól, hogy annak </w:t>
      </w:r>
      <w:proofErr w:type="gramStart"/>
      <w:r w:rsidRPr="004D248B">
        <w:rPr>
          <w:rFonts w:ascii="Arial" w:hAnsi="Arial" w:cs="Arial"/>
          <w:color w:val="000000" w:themeColor="text1"/>
          <w:sz w:val="20"/>
          <w:szCs w:val="20"/>
        </w:rPr>
        <w:t>finanszírozása</w:t>
      </w:r>
      <w:proofErr w:type="gramEnd"/>
      <w:r w:rsidRPr="004D248B">
        <w:rPr>
          <w:rFonts w:ascii="Arial" w:hAnsi="Arial" w:cs="Arial"/>
          <w:color w:val="000000" w:themeColor="text1"/>
          <w:sz w:val="20"/>
          <w:szCs w:val="20"/>
        </w:rPr>
        <w:t xml:space="preserve"> uniós, országos, regionális vagy helyi forrásból történik - támogatási intenzitása vagy összege nem haladhatja meg az irányadó uniós állami támogatási szabályokban meghatározott támogatási intenzitást vagy támogatási összeget.</w:t>
      </w:r>
    </w:p>
    <w:p w14:paraId="28AEF69D" w14:textId="02493345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C61">
        <w:rPr>
          <w:rFonts w:ascii="Arial" w:hAnsi="Arial" w:cs="Arial"/>
          <w:color w:val="000000" w:themeColor="text1"/>
          <w:sz w:val="20"/>
          <w:szCs w:val="20"/>
        </w:rPr>
        <w:t>Amennyiben az általános csoportmentességi rendelet 8. cikk (4) bekezdésében meghatározott támogatás, a csekély összegű támogatás, a mezőgazdasági csekély összegű támogatás és a csekély összegű közszolgáltatási támogatás nem rendelkezik azonosítható elszámolható költségekkel, a támogatás bármely egyéb, azonosítható elszámolható költségekkel rendelkező állami támogatással</w:t>
      </w:r>
      <w:r w:rsidR="001D44BA" w:rsidRPr="005D3C61">
        <w:rPr>
          <w:rFonts w:ascii="Arial" w:hAnsi="Arial" w:cs="Arial"/>
          <w:color w:val="000000" w:themeColor="text1"/>
          <w:sz w:val="20"/>
          <w:szCs w:val="20"/>
        </w:rPr>
        <w:t xml:space="preserve"> halmozható. Az azonosítható el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számolható költségekkel nem rendelkező támogatás a csoportmentességi rendeletekben és az Európai </w:t>
      </w:r>
      <w:proofErr w:type="gramStart"/>
      <w:r w:rsidRPr="005D3C61">
        <w:rPr>
          <w:rFonts w:ascii="Arial" w:hAnsi="Arial" w:cs="Arial"/>
          <w:color w:val="000000" w:themeColor="text1"/>
          <w:sz w:val="20"/>
          <w:szCs w:val="20"/>
        </w:rPr>
        <w:t>Bizottság jóváhagyó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határozatában meghatározott 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lastRenderedPageBreak/>
        <w:t>legmagasabb teljes támogatási intenzitásig vagy támogatási összegig bármilyen más, azonosítható elszámolható költségekkel nem rendelkező állami támogatással halmozható.</w:t>
      </w:r>
    </w:p>
    <w:p w14:paraId="7F4D0679" w14:textId="260C7B06" w:rsidR="00EC35BC" w:rsidRPr="005D3C61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A támogatást nyújtó adatot szolgáltat a Támogatásokat Vizsgáló Iroda, mint az állami támogatások európai uniós versenyszempontú vizsgálatáért felelős szervezet részére a 651/2014/EU bizottsági rendelet 9. cikke szerinti közzététel céljából e rendelet hatálya alá tartozó, elsődleges mezőgazdasági termelés támogatása esetén, valamint a halászati és </w:t>
      </w:r>
      <w:proofErr w:type="spellStart"/>
      <w:r w:rsidRPr="005D3C61">
        <w:rPr>
          <w:rFonts w:ascii="Arial" w:hAnsi="Arial" w:cs="Arial"/>
          <w:color w:val="000000" w:themeColor="text1"/>
          <w:sz w:val="20"/>
          <w:szCs w:val="20"/>
        </w:rPr>
        <w:t>akvakultúra</w:t>
      </w:r>
      <w:proofErr w:type="spellEnd"/>
      <w:r w:rsidRPr="005D3C61">
        <w:rPr>
          <w:rFonts w:ascii="Arial" w:hAnsi="Arial" w:cs="Arial"/>
          <w:color w:val="000000" w:themeColor="text1"/>
          <w:sz w:val="20"/>
          <w:szCs w:val="20"/>
        </w:rPr>
        <w:t>-termékek termelésével, feldolgozásával és értékesítésével kapcsolatos tevékenység támogatása esetén a tízezer eurónak megfelelő forintösszeget, egyéb tevékenység támogatása esetén a százezer eurónak megfelelő forintösszeget meghaladó támogatásokról.</w:t>
      </w:r>
      <w:proofErr w:type="gram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Az adatszolgáltatást a támogatást nyújtó az európai uniós versenyjogi értelemben vett állami támogatásokkal kapcsolatos eljárásról és a regionális támogatási térképről szóló 37/2011. (III. 22.) Korm. rendelet 18/A-18/D. §-</w:t>
      </w:r>
      <w:proofErr w:type="spellStart"/>
      <w:r w:rsidRPr="005D3C61">
        <w:rPr>
          <w:rFonts w:ascii="Arial" w:hAnsi="Arial" w:cs="Arial"/>
          <w:color w:val="000000" w:themeColor="text1"/>
          <w:sz w:val="20"/>
          <w:szCs w:val="20"/>
        </w:rPr>
        <w:t>ai</w:t>
      </w:r>
      <w:proofErr w:type="spell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szerint teljesíti.</w:t>
      </w:r>
    </w:p>
    <w:p w14:paraId="2095CA0C" w14:textId="3AA028E8" w:rsidR="00EC35BC" w:rsidRPr="005D3C61" w:rsidRDefault="00EC35BC" w:rsidP="00E24B29">
      <w:pPr>
        <w:rPr>
          <w:rFonts w:ascii="Arial" w:hAnsi="Arial" w:cs="Arial"/>
          <w:color w:val="000000" w:themeColor="text1"/>
          <w:sz w:val="20"/>
          <w:szCs w:val="20"/>
        </w:rPr>
      </w:pPr>
      <w:r w:rsidRPr="00E24B2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Nem nyújtható az általános csoportmentességi rendelet szerinti támogatás annak </w:t>
      </w:r>
      <w:r w:rsidRPr="006E6C9D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a </w:t>
      </w:r>
      <w:r w:rsidR="00E24B29" w:rsidRPr="006E6C9D">
        <w:rPr>
          <w:rFonts w:ascii="Arial" w:hAnsi="Arial" w:cs="Arial"/>
          <w:color w:val="000000" w:themeColor="text1"/>
          <w:sz w:val="20"/>
          <w:szCs w:val="20"/>
          <w:u w:val="single"/>
        </w:rPr>
        <w:t>munkáltató</w:t>
      </w:r>
      <w:r w:rsidRPr="006E6C9D">
        <w:rPr>
          <w:rFonts w:ascii="Arial" w:hAnsi="Arial" w:cs="Arial"/>
          <w:color w:val="000000" w:themeColor="text1"/>
          <w:sz w:val="20"/>
          <w:szCs w:val="20"/>
          <w:u w:val="single"/>
        </w:rPr>
        <w:t>nak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D74F325" w14:textId="27DD3EAC" w:rsidR="00EC35BC" w:rsidRPr="006E6C9D" w:rsidRDefault="006E6C9D" w:rsidP="00D31879">
      <w:pPr>
        <w:pStyle w:val="NormlWeb"/>
        <w:spacing w:before="0" w:beforeAutospacing="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24B29" w:rsidRPr="006E6C9D">
        <w:rPr>
          <w:rFonts w:ascii="Arial" w:hAnsi="Arial" w:cs="Arial"/>
          <w:color w:val="000000" w:themeColor="text1"/>
          <w:sz w:val="20"/>
          <w:szCs w:val="20"/>
        </w:rPr>
        <w:t xml:space="preserve">amely a csoportmentességi rendelet 1. cikk (2) bekezdés c) pontja szerinti tevékenységet folytat, azaz nem nyújtható az </w:t>
      </w:r>
      <w:proofErr w:type="gramStart"/>
      <w:r w:rsidR="00E24B29" w:rsidRPr="006E6C9D">
        <w:rPr>
          <w:rFonts w:ascii="Arial" w:hAnsi="Arial" w:cs="Arial"/>
          <w:color w:val="000000" w:themeColor="text1"/>
          <w:sz w:val="20"/>
          <w:szCs w:val="20"/>
        </w:rPr>
        <w:t>exportált</w:t>
      </w:r>
      <w:proofErr w:type="gramEnd"/>
      <w:r w:rsidR="00E24B29" w:rsidRPr="006E6C9D">
        <w:rPr>
          <w:rFonts w:ascii="Arial" w:hAnsi="Arial" w:cs="Arial"/>
          <w:color w:val="000000" w:themeColor="text1"/>
          <w:sz w:val="20"/>
          <w:szCs w:val="20"/>
        </w:rPr>
        <w:t xml:space="preserve"> mennyiségekhez közvetlenül kapcsolódó támogatás, értékesítési hálózat kialakításával és működtetésével vagy exporttevékenységgel összefüggésben felmerülő egyéb folyó kiadásokkal kapcsolatos támogatás</w:t>
      </w:r>
    </w:p>
    <w:p w14:paraId="7F8868A3" w14:textId="4EF91EB0" w:rsidR="00EC35BC" w:rsidRPr="006E6C9D" w:rsidRDefault="003435A8" w:rsidP="00D31879">
      <w:pPr>
        <w:pStyle w:val="NormlWeb"/>
        <w:spacing w:before="0" w:beforeAutospacing="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 xml:space="preserve">amely nehéz helyzetben lévő vállalkozásnak minősül a csoportmentességi rendelet 1. cikk (4) be-kezdés c) pontja </w:t>
      </w:r>
      <w:r w:rsidR="00EC35BC" w:rsidRPr="006E6C9D">
        <w:rPr>
          <w:rFonts w:ascii="Arial" w:hAnsi="Arial" w:cs="Arial"/>
          <w:color w:val="000000" w:themeColor="text1"/>
          <w:sz w:val="20"/>
          <w:szCs w:val="20"/>
        </w:rPr>
        <w:t>alapján</w:t>
      </w:r>
      <w:r w:rsidR="00E24B29" w:rsidRPr="006E6C9D">
        <w:rPr>
          <w:rFonts w:ascii="Arial" w:hAnsi="Arial" w:cs="Arial"/>
          <w:color w:val="000000" w:themeColor="text1"/>
          <w:sz w:val="20"/>
          <w:szCs w:val="20"/>
        </w:rPr>
        <w:t xml:space="preserve"> (lásd a mellékelt Tájékoztató a „nehéz helyzetben lévő vállalkozás” továbbá az „egy és ugyanazon vállalkozás” fogalmának meghatározásáról című </w:t>
      </w:r>
      <w:proofErr w:type="gramStart"/>
      <w:r w:rsidR="00E24B29" w:rsidRPr="006E6C9D">
        <w:rPr>
          <w:rFonts w:ascii="Arial" w:hAnsi="Arial" w:cs="Arial"/>
          <w:color w:val="000000" w:themeColor="text1"/>
          <w:sz w:val="20"/>
          <w:szCs w:val="20"/>
        </w:rPr>
        <w:t>dokumentumot</w:t>
      </w:r>
      <w:proofErr w:type="gramEnd"/>
      <w:r w:rsidR="00E24B29" w:rsidRPr="006E6C9D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F23339F" w14:textId="77777777" w:rsidR="00EC35BC" w:rsidRPr="00FC3A78" w:rsidRDefault="00EC35BC" w:rsidP="00EC35BC">
      <w:pPr>
        <w:pStyle w:val="NormlWeb"/>
        <w:spacing w:before="60" w:after="0"/>
        <w:ind w:right="147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C3A78">
        <w:rPr>
          <w:rFonts w:ascii="Arial" w:hAnsi="Arial" w:cs="Arial"/>
          <w:color w:val="000000" w:themeColor="text1"/>
          <w:sz w:val="20"/>
          <w:szCs w:val="20"/>
          <w:u w:val="single"/>
        </w:rPr>
        <w:t>A fentieken túlmenően nem nyújtható támogatás</w:t>
      </w:r>
    </w:p>
    <w:p w14:paraId="74801EB8" w14:textId="1F9AEC74" w:rsidR="00EC35BC" w:rsidRPr="00FC3A78" w:rsidRDefault="00EC35BC" w:rsidP="00B45123">
      <w:pPr>
        <w:pStyle w:val="NormlWeb"/>
        <w:numPr>
          <w:ilvl w:val="0"/>
          <w:numId w:val="10"/>
        </w:numPr>
        <w:spacing w:before="120" w:beforeAutospacing="0" w:after="120" w:afterAutospacing="0"/>
        <w:ind w:left="0" w:right="147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 xml:space="preserve">a mezőgazdasági termék feldolgozásához és mezőgazdasági termék forgalmazásához, </w:t>
      </w:r>
    </w:p>
    <w:p w14:paraId="72276F61" w14:textId="3DD99485" w:rsidR="00EC35BC" w:rsidRPr="00FC3A78" w:rsidRDefault="00EC35BC" w:rsidP="00B45123">
      <w:pPr>
        <w:pStyle w:val="NormlWeb"/>
        <w:numPr>
          <w:ilvl w:val="0"/>
          <w:numId w:val="9"/>
        </w:numPr>
        <w:spacing w:before="120" w:beforeAutospacing="0" w:after="120" w:afterAutospacing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>ha a támogatás összege az elsődleges termelőktől beszerzett vagy érintett vállalkozások által forgalmazott ilyen termékek ára vagy mennyisége alapján kerül rögzítésre, vagy</w:t>
      </w:r>
    </w:p>
    <w:p w14:paraId="6DE8C3DD" w14:textId="72F55E7E" w:rsidR="00EC35BC" w:rsidRPr="00FC3A78" w:rsidRDefault="00EC35BC" w:rsidP="00B45123">
      <w:pPr>
        <w:pStyle w:val="NormlWeb"/>
        <w:numPr>
          <w:ilvl w:val="0"/>
          <w:numId w:val="9"/>
        </w:numPr>
        <w:spacing w:before="120" w:beforeAutospacing="0" w:after="120" w:afterAutospacing="0"/>
        <w:ind w:right="14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>ha a támogatás az elsődleges termelőknek történő teljes vagy részleges továbbítástól függ,</w:t>
      </w:r>
    </w:p>
    <w:p w14:paraId="61CC8352" w14:textId="77777777" w:rsidR="00631E65" w:rsidRPr="00FC3A78" w:rsidRDefault="00D31879" w:rsidP="00B45123">
      <w:pPr>
        <w:pStyle w:val="NormlWeb"/>
        <w:spacing w:before="120" w:beforeAutospacing="0" w:after="120" w:afterAutospacing="0"/>
        <w:ind w:right="147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 xml:space="preserve">abban az esetben, ha azt </w:t>
      </w:r>
      <w:proofErr w:type="gramStart"/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>import</w:t>
      </w:r>
      <w:proofErr w:type="gramEnd"/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 xml:space="preserve"> áru helyett hazai áru használatától teszik függővé,</w:t>
      </w:r>
    </w:p>
    <w:p w14:paraId="6F834267" w14:textId="7DD6C809" w:rsidR="00EC35BC" w:rsidRPr="00FC3A78" w:rsidRDefault="00631E65" w:rsidP="00B45123">
      <w:pPr>
        <w:pStyle w:val="NormlWeb"/>
        <w:spacing w:before="120" w:beforeAutospacing="0" w:after="120" w:afterAutospacing="0"/>
        <w:ind w:right="147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>-</w:t>
      </w:r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 xml:space="preserve"> olyan feltétellel</w:t>
      </w:r>
      <w:proofErr w:type="gramStart"/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95FFF" w:rsidRPr="00FC3A78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>amely</w:t>
      </w:r>
      <w:proofErr w:type="gramEnd"/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 xml:space="preserve"> az európai uniós jog megsértését eredményezi,</w:t>
      </w:r>
    </w:p>
    <w:p w14:paraId="19975910" w14:textId="227470EC" w:rsidR="00EC35BC" w:rsidRPr="00FC3A78" w:rsidRDefault="00D31879" w:rsidP="00B45123">
      <w:pPr>
        <w:pStyle w:val="NormlWeb"/>
        <w:spacing w:before="120" w:beforeAutospacing="0" w:after="120" w:afterAutospacing="0"/>
        <w:ind w:right="147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>versenyképtelen szénbányák részére,</w:t>
      </w:r>
    </w:p>
    <w:p w14:paraId="5E40872A" w14:textId="36840AB9" w:rsidR="00EC35BC" w:rsidRPr="00FC3A78" w:rsidRDefault="00D31879" w:rsidP="00B45123">
      <w:pPr>
        <w:pStyle w:val="NormlWeb"/>
        <w:spacing w:before="120" w:beforeAutospacing="0" w:after="120" w:afterAutospacing="0"/>
        <w:ind w:right="147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C35BC" w:rsidRPr="00FC3A78">
        <w:rPr>
          <w:rFonts w:ascii="Arial" w:hAnsi="Arial" w:cs="Arial"/>
          <w:color w:val="000000" w:themeColor="text1"/>
          <w:sz w:val="20"/>
          <w:szCs w:val="20"/>
        </w:rPr>
        <w:t>atomenergia termeléshez,</w:t>
      </w:r>
    </w:p>
    <w:p w14:paraId="298F3671" w14:textId="110DD528" w:rsidR="00EC35BC" w:rsidRPr="005D3C61" w:rsidRDefault="00EC35BC" w:rsidP="00D0334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A78">
        <w:rPr>
          <w:rFonts w:ascii="Arial" w:hAnsi="Arial" w:cs="Arial"/>
          <w:color w:val="000000" w:themeColor="text1"/>
          <w:sz w:val="20"/>
          <w:szCs w:val="20"/>
        </w:rPr>
        <w:t>Amennyiben a foglalkoztatni kívánt programrésztvevő nem tekinthető a csoportmentességi rendelet</w:t>
      </w:r>
      <w:r w:rsidR="005D3C61" w:rsidRPr="00FC3A78">
        <w:rPr>
          <w:rFonts w:ascii="Arial" w:hAnsi="Arial" w:cs="Arial"/>
          <w:color w:val="000000" w:themeColor="text1"/>
          <w:sz w:val="20"/>
          <w:szCs w:val="20"/>
        </w:rPr>
        <w:t xml:space="preserve"> szerint hátrányos helyzetűnek </w:t>
      </w:r>
      <w:r w:rsidRPr="00FC3A78">
        <w:rPr>
          <w:rFonts w:ascii="Arial" w:hAnsi="Arial" w:cs="Arial"/>
          <w:color w:val="000000" w:themeColor="text1"/>
          <w:sz w:val="20"/>
          <w:szCs w:val="20"/>
        </w:rPr>
        <w:t>és/vagy a csoportmentességi rendelet által kizárt az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ágazat/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>tevékenység/</w:t>
      </w:r>
      <w:proofErr w:type="gramStart"/>
      <w:r w:rsidR="00E24B29" w:rsidRPr="00D0334A">
        <w:rPr>
          <w:rFonts w:ascii="Arial" w:hAnsi="Arial" w:cs="Arial"/>
          <w:color w:val="000000" w:themeColor="text1"/>
          <w:sz w:val="20"/>
          <w:szCs w:val="20"/>
        </w:rPr>
        <w:t xml:space="preserve">munkáltató 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>,</w:t>
      </w:r>
      <w:proofErr w:type="gramEnd"/>
      <w:r w:rsidRPr="00D0334A">
        <w:rPr>
          <w:rFonts w:ascii="Arial" w:hAnsi="Arial" w:cs="Arial"/>
          <w:color w:val="000000" w:themeColor="text1"/>
          <w:sz w:val="20"/>
          <w:szCs w:val="20"/>
        </w:rPr>
        <w:t xml:space="preserve"> akkor a</w:t>
      </w:r>
      <w:r w:rsidR="00E24B29" w:rsidRPr="00D0334A">
        <w:rPr>
          <w:rFonts w:ascii="Arial" w:hAnsi="Arial" w:cs="Arial"/>
          <w:color w:val="000000" w:themeColor="text1"/>
          <w:sz w:val="20"/>
          <w:szCs w:val="20"/>
        </w:rPr>
        <w:t xml:space="preserve"> munkáltató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munkaerőpiaci programban a csoportmentességi rendelet szerint nem, csak a de </w:t>
      </w:r>
      <w:proofErr w:type="spellStart"/>
      <w:r w:rsidRPr="005D3C61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rendeletek szerint kaphat bértámogatást, amennyiben a de </w:t>
      </w:r>
      <w:proofErr w:type="spellStart"/>
      <w:r w:rsidRPr="005D3C61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5D3C61">
        <w:rPr>
          <w:rFonts w:ascii="Arial" w:hAnsi="Arial" w:cs="Arial"/>
          <w:color w:val="000000" w:themeColor="text1"/>
          <w:sz w:val="20"/>
          <w:szCs w:val="20"/>
        </w:rPr>
        <w:t xml:space="preserve"> támogatásnyújtási szabályoknak, 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 xml:space="preserve">mint </w:t>
      </w:r>
      <w:r w:rsidR="00E24B29" w:rsidRPr="00D0334A">
        <w:rPr>
          <w:rFonts w:ascii="Arial" w:hAnsi="Arial" w:cs="Arial"/>
          <w:color w:val="000000" w:themeColor="text1"/>
          <w:sz w:val="20"/>
          <w:szCs w:val="20"/>
        </w:rPr>
        <w:t xml:space="preserve">munkáltató 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>, megfelel</w:t>
      </w:r>
      <w:r w:rsidRPr="005D3C6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D6821B" w14:textId="3643C141" w:rsidR="003475B4" w:rsidRPr="007F2702" w:rsidRDefault="00EC35BC" w:rsidP="00E24B29">
      <w:pPr>
        <w:rPr>
          <w:rFonts w:ascii="Arial" w:hAnsi="Arial" w:cs="Arial"/>
          <w:color w:val="000000" w:themeColor="text1"/>
          <w:sz w:val="20"/>
          <w:szCs w:val="20"/>
        </w:rPr>
      </w:pPr>
      <w:r w:rsidRPr="007F270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 xml:space="preserve">kedvezményezett </w:t>
      </w:r>
      <w:r w:rsidR="00E24B29" w:rsidRPr="00D0334A">
        <w:rPr>
          <w:rFonts w:ascii="Arial" w:hAnsi="Arial" w:cs="Arial"/>
          <w:color w:val="000000" w:themeColor="text1"/>
          <w:sz w:val="20"/>
          <w:szCs w:val="20"/>
        </w:rPr>
        <w:t xml:space="preserve">munkáltató </w:t>
      </w:r>
      <w:r w:rsidRPr="00D033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2702">
        <w:rPr>
          <w:rFonts w:ascii="Arial" w:hAnsi="Arial" w:cs="Arial"/>
          <w:color w:val="000000" w:themeColor="text1"/>
          <w:sz w:val="20"/>
          <w:szCs w:val="20"/>
        </w:rPr>
        <w:t xml:space="preserve">köteles a támogatással kapcsolatos okiratokat és </w:t>
      </w:r>
      <w:proofErr w:type="gramStart"/>
      <w:r w:rsidRPr="007F2702">
        <w:rPr>
          <w:rFonts w:ascii="Arial" w:hAnsi="Arial" w:cs="Arial"/>
          <w:color w:val="000000" w:themeColor="text1"/>
          <w:sz w:val="20"/>
          <w:szCs w:val="20"/>
        </w:rPr>
        <w:t>dokumentumokat</w:t>
      </w:r>
      <w:proofErr w:type="gramEnd"/>
      <w:r w:rsidRPr="007F2702">
        <w:rPr>
          <w:rFonts w:ascii="Arial" w:hAnsi="Arial" w:cs="Arial"/>
          <w:color w:val="000000" w:themeColor="text1"/>
          <w:sz w:val="20"/>
          <w:szCs w:val="20"/>
        </w:rPr>
        <w:t xml:space="preserve"> a támogatási döntés meghozatala napjától számított tíz évig megőrizni.</w:t>
      </w:r>
    </w:p>
    <w:sectPr w:rsidR="003475B4" w:rsidRPr="007F2702" w:rsidSect="006519F5">
      <w:headerReference w:type="first" r:id="rId7"/>
      <w:footerReference w:type="first" r:id="rId8"/>
      <w:pgSz w:w="11906" w:h="16838"/>
      <w:pgMar w:top="1417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C395C" w14:textId="77777777" w:rsidR="00310400" w:rsidRDefault="00310400" w:rsidP="00310400">
      <w:pPr>
        <w:spacing w:after="0" w:line="240" w:lineRule="auto"/>
      </w:pPr>
      <w:r>
        <w:separator/>
      </w:r>
    </w:p>
  </w:endnote>
  <w:endnote w:type="continuationSeparator" w:id="0">
    <w:p w14:paraId="2DBF29E3" w14:textId="77777777" w:rsidR="00310400" w:rsidRDefault="00310400" w:rsidP="0031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95EF9" w14:textId="0E8ADBFA" w:rsidR="00310400" w:rsidRPr="00310400" w:rsidRDefault="008D7E21" w:rsidP="00310400">
    <w:pPr>
      <w:pBdr>
        <w:between w:val="single" w:sz="2" w:space="1" w:color="auto"/>
      </w:pBdr>
      <w:autoSpaceDE w:val="0"/>
      <w:autoSpaceDN w:val="0"/>
      <w:adjustRightInd w:val="0"/>
      <w:spacing w:after="200" w:line="200" w:lineRule="atLeast"/>
      <w:ind w:right="3116"/>
      <w:textAlignment w:val="center"/>
      <w:rPr>
        <w:rFonts w:ascii="Arial" w:eastAsia="Calibri" w:hAnsi="Arial" w:cs="Arial"/>
        <w:i/>
        <w:color w:val="000000"/>
        <w:spacing w:val="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43927D24" wp14:editId="646C9619">
          <wp:simplePos x="0" y="0"/>
          <wp:positionH relativeFrom="column">
            <wp:posOffset>5433646</wp:posOffset>
          </wp:positionH>
          <wp:positionV relativeFrom="page">
            <wp:posOffset>9904633</wp:posOffset>
          </wp:positionV>
          <wp:extent cx="847725" cy="572770"/>
          <wp:effectExtent l="0" t="0" r="9525" b="0"/>
          <wp:wrapTight wrapText="bothSides">
            <wp:wrapPolygon edited="0">
              <wp:start x="0" y="0"/>
              <wp:lineTo x="0" y="20834"/>
              <wp:lineTo x="21357" y="20834"/>
              <wp:lineTo x="21357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624" w:rsidRPr="000D6624">
      <w:rPr>
        <w:rFonts w:ascii="Arial" w:eastAsia="Calibri" w:hAnsi="Arial" w:cs="Arial"/>
        <w:b/>
        <w:i/>
        <w:noProof/>
        <w:sz w:val="20"/>
        <w:szCs w:val="20"/>
        <w:highlight w:val="yellow"/>
        <w:lang w:eastAsia="hu-HU"/>
      </w:rPr>
      <w:t xml:space="preserve"> </w:t>
    </w:r>
  </w:p>
  <w:p w14:paraId="04FD18C7" w14:textId="2FD32B42" w:rsidR="00310400" w:rsidRDefault="003104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BC8E3" w14:textId="77777777" w:rsidR="00310400" w:rsidRDefault="00310400" w:rsidP="00310400">
      <w:pPr>
        <w:spacing w:after="0" w:line="240" w:lineRule="auto"/>
      </w:pPr>
      <w:r>
        <w:separator/>
      </w:r>
    </w:p>
  </w:footnote>
  <w:footnote w:type="continuationSeparator" w:id="0">
    <w:p w14:paraId="338A9286" w14:textId="77777777" w:rsidR="00310400" w:rsidRDefault="00310400" w:rsidP="0031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892A" w14:textId="681F4823" w:rsidR="00310400" w:rsidRDefault="00080779" w:rsidP="008D7E21">
    <w:pPr>
      <w:pStyle w:val="lfej"/>
      <w:tabs>
        <w:tab w:val="clear" w:pos="9072"/>
      </w:tabs>
    </w:pPr>
    <w:r w:rsidRPr="00080779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63360" behindDoc="0" locked="0" layoutInCell="1" allowOverlap="1" wp14:anchorId="131F6186" wp14:editId="228936EE">
          <wp:simplePos x="0" y="0"/>
          <wp:positionH relativeFrom="page">
            <wp:posOffset>11772</wp:posOffset>
          </wp:positionH>
          <wp:positionV relativeFrom="paragraph">
            <wp:posOffset>-448407</wp:posOffset>
          </wp:positionV>
          <wp:extent cx="4018085" cy="1146702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8085" cy="114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8"/>
    <w:multiLevelType w:val="hybridMultilevel"/>
    <w:tmpl w:val="EAB2454E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AC3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FEB"/>
    <w:multiLevelType w:val="hybridMultilevel"/>
    <w:tmpl w:val="5F141A9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D3262"/>
    <w:multiLevelType w:val="hybridMultilevel"/>
    <w:tmpl w:val="11066BB6"/>
    <w:lvl w:ilvl="0" w:tplc="5E6AA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676"/>
    <w:multiLevelType w:val="hybridMultilevel"/>
    <w:tmpl w:val="26B69D24"/>
    <w:lvl w:ilvl="0" w:tplc="DDCEC3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945"/>
    <w:multiLevelType w:val="hybridMultilevel"/>
    <w:tmpl w:val="58E0F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77CE"/>
    <w:multiLevelType w:val="hybridMultilevel"/>
    <w:tmpl w:val="A9EA1746"/>
    <w:lvl w:ilvl="0" w:tplc="54104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1B8FF9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color w:val="auto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91859"/>
    <w:multiLevelType w:val="hybridMultilevel"/>
    <w:tmpl w:val="C87CD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D7317"/>
    <w:multiLevelType w:val="hybridMultilevel"/>
    <w:tmpl w:val="B47EC0B6"/>
    <w:lvl w:ilvl="0" w:tplc="D068B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82C29"/>
    <w:multiLevelType w:val="hybridMultilevel"/>
    <w:tmpl w:val="C87CD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80980"/>
    <w:multiLevelType w:val="hybridMultilevel"/>
    <w:tmpl w:val="2C18F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00"/>
    <w:rsid w:val="00000ED5"/>
    <w:rsid w:val="0002697E"/>
    <w:rsid w:val="000342E7"/>
    <w:rsid w:val="00080779"/>
    <w:rsid w:val="000A1A2C"/>
    <w:rsid w:val="000D6624"/>
    <w:rsid w:val="00184E9E"/>
    <w:rsid w:val="00190750"/>
    <w:rsid w:val="001D44BA"/>
    <w:rsid w:val="001E309F"/>
    <w:rsid w:val="00227072"/>
    <w:rsid w:val="00235A1C"/>
    <w:rsid w:val="0024425E"/>
    <w:rsid w:val="00286079"/>
    <w:rsid w:val="00310400"/>
    <w:rsid w:val="003435A8"/>
    <w:rsid w:val="003475B4"/>
    <w:rsid w:val="00396EFB"/>
    <w:rsid w:val="004D248B"/>
    <w:rsid w:val="004E6DD9"/>
    <w:rsid w:val="0050606D"/>
    <w:rsid w:val="00595FFF"/>
    <w:rsid w:val="005C541E"/>
    <w:rsid w:val="005D0204"/>
    <w:rsid w:val="005D3C61"/>
    <w:rsid w:val="00607E13"/>
    <w:rsid w:val="00620BFC"/>
    <w:rsid w:val="00624825"/>
    <w:rsid w:val="00631E65"/>
    <w:rsid w:val="00644943"/>
    <w:rsid w:val="006519F5"/>
    <w:rsid w:val="006643B4"/>
    <w:rsid w:val="00670C7D"/>
    <w:rsid w:val="00675DD0"/>
    <w:rsid w:val="006B3C6E"/>
    <w:rsid w:val="006C2B4A"/>
    <w:rsid w:val="006E6C9D"/>
    <w:rsid w:val="0070354D"/>
    <w:rsid w:val="007347D6"/>
    <w:rsid w:val="007820AA"/>
    <w:rsid w:val="007B775C"/>
    <w:rsid w:val="007C4A59"/>
    <w:rsid w:val="007E16DA"/>
    <w:rsid w:val="007F2702"/>
    <w:rsid w:val="00843BDE"/>
    <w:rsid w:val="0089097A"/>
    <w:rsid w:val="00893C53"/>
    <w:rsid w:val="00895822"/>
    <w:rsid w:val="008D7E21"/>
    <w:rsid w:val="009244AD"/>
    <w:rsid w:val="009320C7"/>
    <w:rsid w:val="009466A7"/>
    <w:rsid w:val="00946C31"/>
    <w:rsid w:val="00990256"/>
    <w:rsid w:val="009B372B"/>
    <w:rsid w:val="00A044CD"/>
    <w:rsid w:val="00A27663"/>
    <w:rsid w:val="00B45123"/>
    <w:rsid w:val="00C27AA5"/>
    <w:rsid w:val="00D0334A"/>
    <w:rsid w:val="00D31879"/>
    <w:rsid w:val="00DA2C58"/>
    <w:rsid w:val="00DA69E7"/>
    <w:rsid w:val="00DD0866"/>
    <w:rsid w:val="00DF0E56"/>
    <w:rsid w:val="00DF222A"/>
    <w:rsid w:val="00E24B29"/>
    <w:rsid w:val="00E93836"/>
    <w:rsid w:val="00E94A3A"/>
    <w:rsid w:val="00EC35BC"/>
    <w:rsid w:val="00EE6057"/>
    <w:rsid w:val="00F1705F"/>
    <w:rsid w:val="00F454FE"/>
    <w:rsid w:val="00F97FB0"/>
    <w:rsid w:val="00FC3A78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7FD71A"/>
  <w15:chartTrackingRefBased/>
  <w15:docId w15:val="{7315E913-6AB7-488C-8334-8712115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0400"/>
  </w:style>
  <w:style w:type="paragraph" w:styleId="llb">
    <w:name w:val="footer"/>
    <w:basedOn w:val="Norml"/>
    <w:link w:val="llbChar"/>
    <w:uiPriority w:val="99"/>
    <w:unhideWhenUsed/>
    <w:rsid w:val="0031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0400"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396EFB"/>
    <w:pPr>
      <w:spacing w:before="100" w:beforeAutospacing="1" w:after="100" w:afterAutospacing="1" w:line="240" w:lineRule="auto"/>
      <w:ind w:left="720"/>
      <w:contextualSpacing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396EFB"/>
  </w:style>
  <w:style w:type="character" w:styleId="Jegyzethivatkozs">
    <w:name w:val="annotation reference"/>
    <w:basedOn w:val="Bekezdsalapbettpusa"/>
    <w:uiPriority w:val="99"/>
    <w:semiHidden/>
    <w:unhideWhenUsed/>
    <w:rsid w:val="002270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70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70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70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70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07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rsid w:val="0084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4142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70C7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6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1212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Földiné Baksa Beatrix</dc:creator>
  <cp:keywords/>
  <dc:description/>
  <cp:lastModifiedBy>Juhász Katalin</cp:lastModifiedBy>
  <cp:revision>10</cp:revision>
  <cp:lastPrinted>2024-11-07T09:35:00Z</cp:lastPrinted>
  <dcterms:created xsi:type="dcterms:W3CDTF">2025-07-25T07:47:00Z</dcterms:created>
  <dcterms:modified xsi:type="dcterms:W3CDTF">2025-10-06T09:03:00Z</dcterms:modified>
</cp:coreProperties>
</file>